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D8864" w14:textId="1282A4CE" w:rsidR="00FE7557" w:rsidRDefault="00D81023" w:rsidP="00117742">
      <w:pPr>
        <w:pStyle w:val="Title"/>
      </w:pPr>
      <w:r>
        <w:t>Reviewing your curricula</w:t>
      </w:r>
      <w:r w:rsidR="00026F05">
        <w:t>: student development, employability and careers</w:t>
      </w:r>
    </w:p>
    <w:p w14:paraId="2A03CCC9" w14:textId="77777777" w:rsidR="00026F05" w:rsidRPr="00E5264A" w:rsidRDefault="00026F05" w:rsidP="007D2687"/>
    <w:p w14:paraId="3C161EB3" w14:textId="43852292" w:rsidR="00FE7557" w:rsidRDefault="00104F2B" w:rsidP="00B95CB9">
      <w:pPr>
        <w:pStyle w:val="Subtitle"/>
      </w:pPr>
      <w:r>
        <w:t>This</w:t>
      </w:r>
      <w:r w:rsidR="00B95CB9">
        <w:t xml:space="preserve"> self-review template can be used to </w:t>
      </w:r>
      <w:r w:rsidR="00026F05">
        <w:t xml:space="preserve">analyse and </w:t>
      </w:r>
      <w:r w:rsidR="00B95CB9">
        <w:t xml:space="preserve">reflect on current provision </w:t>
      </w:r>
      <w:r w:rsidR="00026F05">
        <w:t xml:space="preserve">regarding </w:t>
      </w:r>
      <w:r w:rsidR="00B95CB9">
        <w:t>each of the 10 curriculum design elements</w:t>
      </w:r>
      <w:r w:rsidR="00C33DAB">
        <w:t xml:space="preserve"> featured </w:t>
      </w:r>
      <w:r w:rsidR="00026F05">
        <w:t>i</w:t>
      </w:r>
      <w:r w:rsidR="00C33DAB">
        <w:t xml:space="preserve">n the Employability Consultancy’s </w:t>
      </w:r>
      <w:r w:rsidR="00026F05">
        <w:t>C</w:t>
      </w:r>
      <w:r w:rsidR="00C33DAB">
        <w:t xml:space="preserve">urriculum </w:t>
      </w:r>
      <w:r w:rsidR="00335DCF">
        <w:t>t</w:t>
      </w:r>
      <w:r w:rsidR="00C33DAB">
        <w:t>oolkit</w:t>
      </w:r>
      <w:r w:rsidR="00D41022">
        <w:t xml:space="preserve"> for embedding</w:t>
      </w:r>
      <w:r w:rsidR="00260AF3">
        <w:t xml:space="preserve"> </w:t>
      </w:r>
      <w:r w:rsidR="00D41022">
        <w:t>s</w:t>
      </w:r>
      <w:r w:rsidR="00260AF3">
        <w:t xml:space="preserve">tudent development, </w:t>
      </w:r>
      <w:r w:rsidR="00D41022">
        <w:t>e</w:t>
      </w:r>
      <w:r w:rsidR="00260AF3">
        <w:t xml:space="preserve">mployability and </w:t>
      </w:r>
      <w:r w:rsidR="00D41022">
        <w:t>c</w:t>
      </w:r>
      <w:r w:rsidR="00260AF3">
        <w:t>areers</w:t>
      </w:r>
      <w:r w:rsidR="00026F05">
        <w:t xml:space="preserve"> (</w:t>
      </w:r>
      <w:hyperlink r:id="rId11" w:history="1">
        <w:r w:rsidR="00002692" w:rsidRPr="00192AF4">
          <w:rPr>
            <w:rStyle w:val="Hyperlink"/>
          </w:rPr>
          <w:t>www.ed.ac.uk/employability/curriculum-toolkit</w:t>
        </w:r>
      </w:hyperlink>
      <w:r w:rsidR="00026F05">
        <w:t>)</w:t>
      </w:r>
      <w:r w:rsidR="00CC67E5">
        <w:t>.</w:t>
      </w:r>
    </w:p>
    <w:p w14:paraId="37A47F9C" w14:textId="77777777" w:rsidR="00BA4443" w:rsidRDefault="00BA4443" w:rsidP="00776FFB"/>
    <w:p w14:paraId="3CC0618F" w14:textId="38F93543" w:rsidR="00776FFB" w:rsidRDefault="00776FFB" w:rsidP="00776FFB">
      <w:r>
        <w:t>The self-review template below has been designed to prompt your thinking around current provision, indicators of success</w:t>
      </w:r>
      <w:r w:rsidR="00975C05">
        <w:t>,</w:t>
      </w:r>
      <w:r>
        <w:t xml:space="preserve"> and potential future plans you have regard</w:t>
      </w:r>
      <w:r w:rsidR="00026F05">
        <w:t>ing</w:t>
      </w:r>
      <w:r>
        <w:t xml:space="preserve"> the 10 design elements introduced in the Curriculum Toolkit</w:t>
      </w:r>
      <w:r w:rsidR="00E935DE">
        <w:t>.</w:t>
      </w:r>
      <w:r w:rsidR="00CB5810">
        <w:t xml:space="preserve">  </w:t>
      </w:r>
      <w:r w:rsidR="0048383D">
        <w:t xml:space="preserve">The template can be applied to each of the </w:t>
      </w:r>
      <w:r w:rsidR="00CB5810">
        <w:t xml:space="preserve">10 elements </w:t>
      </w:r>
      <w:r w:rsidR="0048383D">
        <w:t xml:space="preserve">in turn – </w:t>
      </w:r>
      <w:r w:rsidR="00CB5810">
        <w:t>their</w:t>
      </w:r>
      <w:r w:rsidR="0048383D">
        <w:t xml:space="preserve"> </w:t>
      </w:r>
      <w:r w:rsidR="00CB5810">
        <w:t xml:space="preserve">descriptors </w:t>
      </w:r>
      <w:r w:rsidR="0048383D">
        <w:t xml:space="preserve">follow immediately </w:t>
      </w:r>
      <w:r w:rsidR="00CB5810">
        <w:t>after the self-review template.</w:t>
      </w:r>
    </w:p>
    <w:p w14:paraId="3DBAD440" w14:textId="48626EFC" w:rsidR="00026F05" w:rsidRDefault="00E935DE" w:rsidP="00776FFB">
      <w:r>
        <w:t xml:space="preserve">The </w:t>
      </w:r>
      <w:r w:rsidR="0048383D">
        <w:t xml:space="preserve">self-review </w:t>
      </w:r>
      <w:r>
        <w:t xml:space="preserve">template can be </w:t>
      </w:r>
      <w:r w:rsidR="00026F05">
        <w:t>flexed to your needs, for example:</w:t>
      </w:r>
    </w:p>
    <w:p w14:paraId="68363FA5" w14:textId="796C526B" w:rsidR="00026F05" w:rsidRDefault="006E76C2" w:rsidP="00E646BB">
      <w:pPr>
        <w:pStyle w:val="ListParagraph"/>
        <w:numPr>
          <w:ilvl w:val="0"/>
          <w:numId w:val="6"/>
        </w:numPr>
      </w:pPr>
      <w:r w:rsidRPr="00E646BB">
        <w:rPr>
          <w:b/>
        </w:rPr>
        <w:t>r</w:t>
      </w:r>
      <w:r w:rsidR="00026F05" w:rsidRPr="00E646BB">
        <w:rPr>
          <w:b/>
        </w:rPr>
        <w:t>ange</w:t>
      </w:r>
      <w:r w:rsidRPr="00E646BB">
        <w:rPr>
          <w:b/>
        </w:rPr>
        <w:t xml:space="preserve"> of elements</w:t>
      </w:r>
      <w:r w:rsidR="00026F05">
        <w:t xml:space="preserve"> – it can be </w:t>
      </w:r>
      <w:r w:rsidR="00E935DE">
        <w:t>used for each of the 10 elements</w:t>
      </w:r>
      <w:r w:rsidR="00D40C0A">
        <w:t xml:space="preserve"> or for</w:t>
      </w:r>
      <w:r w:rsidR="00E935DE">
        <w:t xml:space="preserve"> </w:t>
      </w:r>
      <w:r w:rsidR="00D40C0A">
        <w:t>only a subset</w:t>
      </w:r>
      <w:r w:rsidR="00026F05">
        <w:t xml:space="preserve"> depending on your context;</w:t>
      </w:r>
    </w:p>
    <w:p w14:paraId="247F05D4" w14:textId="184C36D7" w:rsidR="00E935DE" w:rsidRDefault="006E76C2" w:rsidP="00E646BB">
      <w:pPr>
        <w:pStyle w:val="ListParagraph"/>
        <w:numPr>
          <w:ilvl w:val="0"/>
          <w:numId w:val="6"/>
        </w:numPr>
      </w:pPr>
      <w:r w:rsidRPr="00E646BB">
        <w:rPr>
          <w:b/>
        </w:rPr>
        <w:t>curricular or co-curricular</w:t>
      </w:r>
      <w:r w:rsidR="00026F05">
        <w:t xml:space="preserve"> – </w:t>
      </w:r>
      <w:r w:rsidR="00752524">
        <w:t>w</w:t>
      </w:r>
      <w:r w:rsidR="00E935DE">
        <w:t xml:space="preserve">hile the process was initially designed for curricular activity, the template </w:t>
      </w:r>
      <w:r w:rsidR="00CB5810">
        <w:t xml:space="preserve">and approach </w:t>
      </w:r>
      <w:r w:rsidR="00E935DE">
        <w:t xml:space="preserve">can </w:t>
      </w:r>
      <w:r w:rsidR="00E646BB">
        <w:t xml:space="preserve">also </w:t>
      </w:r>
      <w:r w:rsidR="00E935DE">
        <w:t>easily be</w:t>
      </w:r>
      <w:r w:rsidR="0048383D">
        <w:t xml:space="preserve"> </w:t>
      </w:r>
      <w:r w:rsidR="00E935DE">
        <w:t xml:space="preserve">used for co-curricular activities. </w:t>
      </w:r>
    </w:p>
    <w:p w14:paraId="380F521C" w14:textId="30F93761" w:rsidR="00776FFB" w:rsidRDefault="006E76C2" w:rsidP="00E646BB">
      <w:pPr>
        <w:pStyle w:val="ListParagraph"/>
        <w:numPr>
          <w:ilvl w:val="0"/>
          <w:numId w:val="6"/>
        </w:numPr>
      </w:pPr>
      <w:r w:rsidRPr="00E646BB">
        <w:rPr>
          <w:b/>
        </w:rPr>
        <w:t>l</w:t>
      </w:r>
      <w:r w:rsidR="00026F05" w:rsidRPr="00E646BB">
        <w:rPr>
          <w:b/>
        </w:rPr>
        <w:t>evel of detail</w:t>
      </w:r>
      <w:r w:rsidR="00026F05">
        <w:t xml:space="preserve"> – </w:t>
      </w:r>
      <w:r>
        <w:t>a</w:t>
      </w:r>
      <w:r w:rsidR="00D40C0A">
        <w:t xml:space="preserve">s with any process, you can choose to spend </w:t>
      </w:r>
      <w:r w:rsidR="0086642F">
        <w:t xml:space="preserve">a </w:t>
      </w:r>
      <w:r w:rsidR="00D40C0A">
        <w:t xml:space="preserve">little or </w:t>
      </w:r>
      <w:r w:rsidR="0086642F">
        <w:t>a lot of</w:t>
      </w:r>
      <w:r w:rsidR="00D40C0A">
        <w:t xml:space="preserve"> time</w:t>
      </w:r>
      <w:r w:rsidR="0048383D">
        <w:t xml:space="preserve"> on it</w:t>
      </w:r>
      <w:r w:rsidR="00D40C0A">
        <w:t xml:space="preserve">. </w:t>
      </w:r>
      <w:r w:rsidR="0086642F">
        <w:t xml:space="preserve"> </w:t>
      </w:r>
      <w:r w:rsidR="0048383D">
        <w:t>If engaged with</w:t>
      </w:r>
      <w:r w:rsidR="0048383D" w:rsidRPr="0048383D">
        <w:t xml:space="preserve"> </w:t>
      </w:r>
      <w:r w:rsidR="0048383D">
        <w:t>fully, t</w:t>
      </w:r>
      <w:r w:rsidR="0086642F">
        <w:t xml:space="preserve">he process below </w:t>
      </w:r>
      <w:r w:rsidR="0048383D">
        <w:t xml:space="preserve">will </w:t>
      </w:r>
      <w:r w:rsidR="00240286">
        <w:t>support</w:t>
      </w:r>
      <w:r w:rsidR="00145594">
        <w:t xml:space="preserve"> </w:t>
      </w:r>
      <w:r w:rsidR="0048383D">
        <w:t xml:space="preserve">you in </w:t>
      </w:r>
      <w:r w:rsidR="00145594">
        <w:t>developing a broad understanding</w:t>
      </w:r>
      <w:r w:rsidR="00240286">
        <w:t xml:space="preserve"> of your provision</w:t>
      </w:r>
      <w:r w:rsidR="0048383D">
        <w:t>, areas of current strength and opportunities for enhancement and impact</w:t>
      </w:r>
      <w:r w:rsidR="00145594">
        <w:t>.</w:t>
      </w:r>
    </w:p>
    <w:p w14:paraId="4C6C4798" w14:textId="74A9C995" w:rsidR="00F45D86" w:rsidRDefault="00DB6849" w:rsidP="007E4C81">
      <w:r>
        <w:t xml:space="preserve">The </w:t>
      </w:r>
      <w:r w:rsidR="00D81023">
        <w:t xml:space="preserve">template </w:t>
      </w:r>
      <w:r w:rsidR="00CC54D9">
        <w:t>builds</w:t>
      </w:r>
      <w:r>
        <w:t xml:space="preserve"> on the s</w:t>
      </w:r>
      <w:r w:rsidR="004A0996">
        <w:t xml:space="preserve">elf-review </w:t>
      </w:r>
      <w:r w:rsidR="00D81023">
        <w:t xml:space="preserve">process </w:t>
      </w:r>
      <w:r>
        <w:t>designed for</w:t>
      </w:r>
      <w:r w:rsidR="008B0110">
        <w:t xml:space="preserve"> the</w:t>
      </w:r>
      <w:r w:rsidR="00327990">
        <w:t xml:space="preserve"> 2018/</w:t>
      </w:r>
      <w:r>
        <w:t>19 curriculum mapping of the undergraduate curriculum</w:t>
      </w:r>
      <w:r w:rsidR="00CB5810">
        <w:t xml:space="preserve"> – this process </w:t>
      </w:r>
      <w:r w:rsidR="00D81023">
        <w:t xml:space="preserve">and the elements were </w:t>
      </w:r>
      <w:r w:rsidR="00CB5810">
        <w:t xml:space="preserve">informed by practice and research across the sector, including </w:t>
      </w:r>
      <w:r w:rsidR="00F45D86">
        <w:t>adapting the framework of elements used at the University of Plymouth.</w:t>
      </w:r>
    </w:p>
    <w:p w14:paraId="56062261" w14:textId="3574C96E" w:rsidR="00BA4443" w:rsidRDefault="00BA4443" w:rsidP="00776FFB">
      <w:r>
        <w:t xml:space="preserve">If you would like to discuss your provision or would like support with </w:t>
      </w:r>
      <w:r w:rsidR="00CB5810">
        <w:t>reviewing it</w:t>
      </w:r>
      <w:r w:rsidR="00502D75">
        <w:t xml:space="preserve"> </w:t>
      </w:r>
      <w:r w:rsidR="00CB5810">
        <w:t>–</w:t>
      </w:r>
      <w:r w:rsidR="00502D75">
        <w:t xml:space="preserve"> please reach out; </w:t>
      </w:r>
      <w:r>
        <w:t>we</w:t>
      </w:r>
      <w:r w:rsidR="00502D75">
        <w:t xml:space="preserve"> are happy to help.  </w:t>
      </w:r>
    </w:p>
    <w:p w14:paraId="4461C013" w14:textId="77777777" w:rsidR="009F0046" w:rsidRDefault="009F0046" w:rsidP="00776FFB"/>
    <w:p w14:paraId="751274C3" w14:textId="77777777" w:rsidR="009F0046" w:rsidRDefault="009F0046" w:rsidP="00776FFB"/>
    <w:p w14:paraId="60165134" w14:textId="77777777" w:rsidR="007253A2" w:rsidRPr="007253A2" w:rsidRDefault="00D44D25" w:rsidP="00776FFB">
      <w:r>
        <w:t xml:space="preserve">Dr </w:t>
      </w:r>
      <w:r w:rsidR="007253A2">
        <w:t>Gavin McCabe</w:t>
      </w:r>
      <w:r w:rsidR="007253A2">
        <w:br/>
      </w:r>
      <w:hyperlink r:id="rId12" w:history="1">
        <w:r w:rsidR="007253A2" w:rsidRPr="00A76EA3">
          <w:rPr>
            <w:rStyle w:val="Hyperlink"/>
          </w:rPr>
          <w:t>Gavin.McCabe@ed.ac.uk</w:t>
        </w:r>
      </w:hyperlink>
      <w:r w:rsidR="007253A2">
        <w:br/>
        <w:t>Employability Consultancy, University of Edinburgh</w:t>
      </w:r>
    </w:p>
    <w:p w14:paraId="17D83F95" w14:textId="77777777" w:rsidR="005D3112" w:rsidRDefault="005D3112" w:rsidP="00776FFB">
      <w:pPr>
        <w:rPr>
          <w:b/>
        </w:rPr>
        <w:sectPr w:rsidR="005D3112" w:rsidSect="00501CD9">
          <w:headerReference w:type="default" r:id="rId13"/>
          <w:headerReference w:type="first" r:id="rId14"/>
          <w:pgSz w:w="11906" w:h="16838"/>
          <w:pgMar w:top="1985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C4433" w:rsidRPr="00DE1A35" w14:paraId="77EEFBE6" w14:textId="77777777" w:rsidTr="005E75D8">
        <w:tc>
          <w:tcPr>
            <w:tcW w:w="9016" w:type="dxa"/>
            <w:gridSpan w:val="2"/>
            <w:shd w:val="clear" w:color="auto" w:fill="1F4E79" w:themeFill="accent1" w:themeFillShade="80"/>
          </w:tcPr>
          <w:p w14:paraId="10390E87" w14:textId="0425A5A9" w:rsidR="002C4433" w:rsidRPr="002C4433" w:rsidRDefault="002C4433" w:rsidP="00A72DF6">
            <w:pPr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DESIGN ELEMENT:  [</w:t>
            </w:r>
            <w:r w:rsidRPr="005E75D8">
              <w:rPr>
                <w:b/>
                <w:i/>
                <w:color w:val="FFFFFF" w:themeColor="background1"/>
              </w:rPr>
              <w:t>INSERT AS APPROPRIATE</w:t>
            </w:r>
            <w:r>
              <w:rPr>
                <w:b/>
                <w:color w:val="FFFFFF" w:themeColor="background1"/>
              </w:rPr>
              <w:t>]</w:t>
            </w:r>
          </w:p>
        </w:tc>
      </w:tr>
      <w:tr w:rsidR="00453882" w:rsidRPr="00DE1A35" w14:paraId="1E61B858" w14:textId="77777777" w:rsidTr="00E80103">
        <w:tc>
          <w:tcPr>
            <w:tcW w:w="9016" w:type="dxa"/>
            <w:gridSpan w:val="2"/>
            <w:shd w:val="clear" w:color="auto" w:fill="5B9BD5" w:themeFill="accent1"/>
          </w:tcPr>
          <w:p w14:paraId="2CED1595" w14:textId="77777777" w:rsidR="00453882" w:rsidRPr="00DE1A35" w:rsidRDefault="00453882" w:rsidP="00A72DF6">
            <w:pPr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CURRICULAR ACTIVITY</w:t>
            </w:r>
          </w:p>
        </w:tc>
      </w:tr>
      <w:tr w:rsidR="00453882" w:rsidRPr="00C541C7" w14:paraId="0DD3C2DB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25E9B8D3" w14:textId="77777777" w:rsidR="00453882" w:rsidRPr="003471D7" w:rsidRDefault="00453882" w:rsidP="00A72DF6">
            <w:pPr>
              <w:keepNext/>
            </w:pPr>
            <w:r w:rsidRPr="00C541C7">
              <w:rPr>
                <w:b/>
              </w:rPr>
              <w:t xml:space="preserve">Analysis of current </w:t>
            </w:r>
            <w:r>
              <w:rPr>
                <w:b/>
              </w:rPr>
              <w:t>activity</w:t>
            </w:r>
          </w:p>
          <w:p w14:paraId="12643A9E" w14:textId="283A03CB" w:rsidR="00BC13B4" w:rsidRDefault="00694F30" w:rsidP="00A72DF6">
            <w:pPr>
              <w:keepNext/>
              <w:rPr>
                <w:i/>
              </w:rPr>
            </w:pPr>
            <w:r>
              <w:rPr>
                <w:i/>
              </w:rPr>
              <w:t>Below</w:t>
            </w:r>
            <w:r w:rsidR="00BC13B4">
              <w:rPr>
                <w:i/>
              </w:rPr>
              <w:t xml:space="preserve"> </w:t>
            </w:r>
            <w:r w:rsidR="002C4433">
              <w:rPr>
                <w:i/>
              </w:rPr>
              <w:t xml:space="preserve">is </w:t>
            </w:r>
            <w:r w:rsidR="008C4450">
              <w:rPr>
                <w:i/>
              </w:rPr>
              <w:t>space</w:t>
            </w:r>
            <w:r w:rsidR="00BC13B4">
              <w:rPr>
                <w:i/>
              </w:rPr>
              <w:t xml:space="preserve"> to reflect on current strengths and weaknesses related to the design element</w:t>
            </w:r>
            <w:r w:rsidR="0048383D">
              <w:rPr>
                <w:i/>
              </w:rPr>
              <w:t xml:space="preserve"> you are considering</w:t>
            </w:r>
            <w:r w:rsidR="00BC13B4">
              <w:rPr>
                <w:i/>
              </w:rPr>
              <w:t>.  It can b</w:t>
            </w:r>
            <w:r w:rsidR="005C5E69">
              <w:rPr>
                <w:i/>
              </w:rPr>
              <w:t>e helpful to think about concre</w:t>
            </w:r>
            <w:r w:rsidR="00BC13B4">
              <w:rPr>
                <w:i/>
              </w:rPr>
              <w:t>te examples and courses</w:t>
            </w:r>
            <w:r w:rsidR="00744E51">
              <w:rPr>
                <w:i/>
              </w:rPr>
              <w:t>.</w:t>
            </w:r>
            <w:r w:rsidR="00BC13B4">
              <w:rPr>
                <w:i/>
              </w:rPr>
              <w:t xml:space="preserve"> </w:t>
            </w:r>
            <w:r w:rsidR="00744E51">
              <w:rPr>
                <w:i/>
              </w:rPr>
              <w:t xml:space="preserve"> W</w:t>
            </w:r>
            <w:r w:rsidR="00BC13B4">
              <w:rPr>
                <w:i/>
              </w:rPr>
              <w:t>hen doing so</w:t>
            </w:r>
            <w:r w:rsidR="00B26D5D">
              <w:rPr>
                <w:i/>
              </w:rPr>
              <w:t>,</w:t>
            </w:r>
            <w:r w:rsidR="00BC13B4">
              <w:rPr>
                <w:i/>
              </w:rPr>
              <w:t xml:space="preserve"> think about questions such as: </w:t>
            </w:r>
            <w:r w:rsidR="002C4433">
              <w:rPr>
                <w:i/>
              </w:rPr>
              <w:t xml:space="preserve"> I</w:t>
            </w:r>
            <w:r w:rsidR="00BC13B4">
              <w:rPr>
                <w:i/>
              </w:rPr>
              <w:t xml:space="preserve">s it compulsory?  </w:t>
            </w:r>
            <w:r w:rsidR="002C4433">
              <w:rPr>
                <w:i/>
              </w:rPr>
              <w:t>W</w:t>
            </w:r>
            <w:r w:rsidR="00BC13B4">
              <w:rPr>
                <w:i/>
              </w:rPr>
              <w:t xml:space="preserve">hat proportion of your eligible students take part?  </w:t>
            </w:r>
            <w:r w:rsidR="002C4433">
              <w:rPr>
                <w:i/>
              </w:rPr>
              <w:t>I</w:t>
            </w:r>
            <w:r w:rsidR="00BC13B4">
              <w:rPr>
                <w:i/>
              </w:rPr>
              <w:t xml:space="preserve">s it assessed?  </w:t>
            </w:r>
            <w:r w:rsidR="002C4433">
              <w:rPr>
                <w:i/>
              </w:rPr>
              <w:t>W</w:t>
            </w:r>
            <w:r w:rsidR="00BC13B4">
              <w:rPr>
                <w:i/>
              </w:rPr>
              <w:t>hen in the programme does it happen?</w:t>
            </w:r>
          </w:p>
          <w:p w14:paraId="2A296936" w14:textId="77777777" w:rsidR="00BC13B4" w:rsidRDefault="00BC13B4" w:rsidP="00A72DF6">
            <w:pPr>
              <w:keepNext/>
              <w:rPr>
                <w:i/>
              </w:rPr>
            </w:pPr>
          </w:p>
          <w:p w14:paraId="11B5FDBC" w14:textId="4A6FADAC" w:rsidR="00453882" w:rsidRPr="00C541C7" w:rsidRDefault="002C4433" w:rsidP="007E4C81">
            <w:pPr>
              <w:keepNext/>
            </w:pPr>
            <w:r>
              <w:rPr>
                <w:i/>
              </w:rPr>
              <w:t>In addition to question prompts that you identify yourself, q</w:t>
            </w:r>
            <w:r w:rsidR="00BC13B4">
              <w:rPr>
                <w:i/>
              </w:rPr>
              <w:t xml:space="preserve">uestions </w:t>
            </w:r>
            <w:r w:rsidR="00B26D5D">
              <w:rPr>
                <w:i/>
              </w:rPr>
              <w:t xml:space="preserve">like </w:t>
            </w:r>
            <w:r>
              <w:rPr>
                <w:i/>
              </w:rPr>
              <w:t xml:space="preserve">these </w:t>
            </w:r>
            <w:r w:rsidR="00BC13B4">
              <w:rPr>
                <w:i/>
              </w:rPr>
              <w:t xml:space="preserve">can help </w:t>
            </w:r>
            <w:r w:rsidR="009A794E">
              <w:rPr>
                <w:i/>
              </w:rPr>
              <w:t xml:space="preserve">you </w:t>
            </w:r>
            <w:r w:rsidR="00BC13B4">
              <w:rPr>
                <w:i/>
              </w:rPr>
              <w:t xml:space="preserve">get a sense of </w:t>
            </w:r>
            <w:r w:rsidR="007E4C81">
              <w:rPr>
                <w:i/>
              </w:rPr>
              <w:t xml:space="preserve">how your </w:t>
            </w:r>
            <w:r w:rsidR="00BC13B4">
              <w:rPr>
                <w:i/>
              </w:rPr>
              <w:t>strengths and weaknesses</w:t>
            </w:r>
            <w:r w:rsidR="007E4C81">
              <w:rPr>
                <w:i/>
              </w:rPr>
              <w:t xml:space="preserve"> are distributed across your students’ experiences</w:t>
            </w:r>
            <w:r w:rsidR="008A2B4D">
              <w:rPr>
                <w:i/>
              </w:rPr>
              <w:t>.</w:t>
            </w:r>
          </w:p>
        </w:tc>
      </w:tr>
      <w:tr w:rsidR="00453882" w14:paraId="67EAD3CC" w14:textId="77777777" w:rsidTr="00E80103">
        <w:tc>
          <w:tcPr>
            <w:tcW w:w="4508" w:type="dxa"/>
          </w:tcPr>
          <w:p w14:paraId="0FE70FD2" w14:textId="77777777" w:rsidR="00453882" w:rsidRDefault="00453882" w:rsidP="00A72DF6">
            <w:r>
              <w:t>Strengths:</w:t>
            </w:r>
          </w:p>
          <w:p w14:paraId="2E56B0F9" w14:textId="77777777" w:rsidR="00453882" w:rsidRDefault="00453882" w:rsidP="00453882">
            <w:pPr>
              <w:pStyle w:val="ListParagraph"/>
              <w:numPr>
                <w:ilvl w:val="0"/>
                <w:numId w:val="1"/>
              </w:numPr>
              <w:ind w:left="286" w:hanging="219"/>
            </w:pPr>
          </w:p>
          <w:p w14:paraId="4ED01773" w14:textId="77777777" w:rsidR="00453882" w:rsidRDefault="00453882" w:rsidP="00453882">
            <w:pPr>
              <w:pStyle w:val="ListParagraph"/>
              <w:numPr>
                <w:ilvl w:val="0"/>
                <w:numId w:val="1"/>
              </w:numPr>
              <w:ind w:left="286" w:hanging="219"/>
            </w:pPr>
            <w:r>
              <w:br/>
            </w:r>
            <w:r>
              <w:br/>
            </w:r>
            <w:r>
              <w:br/>
            </w:r>
          </w:p>
          <w:p w14:paraId="20206C33" w14:textId="77777777" w:rsidR="00453882" w:rsidRDefault="00453882" w:rsidP="00A72DF6"/>
        </w:tc>
        <w:tc>
          <w:tcPr>
            <w:tcW w:w="4508" w:type="dxa"/>
          </w:tcPr>
          <w:p w14:paraId="16E396B4" w14:textId="238AE802" w:rsidR="00453882" w:rsidRDefault="00453882" w:rsidP="00A72DF6">
            <w:r>
              <w:t>Gaps</w:t>
            </w:r>
            <w:r w:rsidR="00A36EE6">
              <w:t>/</w:t>
            </w:r>
            <w:r w:rsidR="002C4433">
              <w:t>W</w:t>
            </w:r>
            <w:r w:rsidR="00A36EE6">
              <w:t>eaknesses</w:t>
            </w:r>
          </w:p>
          <w:p w14:paraId="34193761" w14:textId="77777777" w:rsidR="00453882" w:rsidRDefault="00453882" w:rsidP="00453882">
            <w:pPr>
              <w:pStyle w:val="ListParagraph"/>
              <w:numPr>
                <w:ilvl w:val="0"/>
                <w:numId w:val="1"/>
              </w:numPr>
              <w:ind w:left="286" w:hanging="219"/>
            </w:pPr>
          </w:p>
          <w:p w14:paraId="466E62B9" w14:textId="77777777" w:rsidR="00453882" w:rsidRDefault="00453882" w:rsidP="00453882">
            <w:pPr>
              <w:pStyle w:val="ListParagraph"/>
              <w:numPr>
                <w:ilvl w:val="0"/>
                <w:numId w:val="1"/>
              </w:numPr>
              <w:ind w:left="286" w:hanging="219"/>
            </w:pPr>
          </w:p>
          <w:p w14:paraId="13CE2EEC" w14:textId="77777777" w:rsidR="00453882" w:rsidRDefault="00453882" w:rsidP="00A72DF6">
            <w:pPr>
              <w:ind w:left="67"/>
            </w:pPr>
          </w:p>
        </w:tc>
      </w:tr>
      <w:tr w:rsidR="008341AA" w:rsidRPr="00DE1A35" w14:paraId="1BD1F248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36CC1E90" w14:textId="77777777" w:rsidR="008341AA" w:rsidRPr="00777D5A" w:rsidRDefault="008341AA" w:rsidP="008341AA">
            <w:pPr>
              <w:keepNext/>
              <w:rPr>
                <w:b/>
              </w:rPr>
            </w:pPr>
            <w:r>
              <w:rPr>
                <w:b/>
              </w:rPr>
              <w:t>Indicators of success</w:t>
            </w:r>
          </w:p>
          <w:p w14:paraId="4FBD51E7" w14:textId="5C3A11CC" w:rsidR="00081E8A" w:rsidRDefault="002C4433" w:rsidP="001721D0">
            <w:pPr>
              <w:keepNext/>
              <w:rPr>
                <w:i/>
              </w:rPr>
            </w:pPr>
            <w:r>
              <w:rPr>
                <w:i/>
              </w:rPr>
              <w:t>N</w:t>
            </w:r>
            <w:r w:rsidR="00081E8A">
              <w:rPr>
                <w:i/>
              </w:rPr>
              <w:t>ot all elements are equally relevant to all fields</w:t>
            </w:r>
            <w:r>
              <w:rPr>
                <w:i/>
              </w:rPr>
              <w:t xml:space="preserve"> – </w:t>
            </w:r>
            <w:r w:rsidR="00081E8A">
              <w:rPr>
                <w:i/>
              </w:rPr>
              <w:t xml:space="preserve">you </w:t>
            </w:r>
            <w:r>
              <w:rPr>
                <w:i/>
              </w:rPr>
              <w:t xml:space="preserve">and colleagues will have a sense of </w:t>
            </w:r>
            <w:r w:rsidR="00F22074">
              <w:rPr>
                <w:i/>
              </w:rPr>
              <w:t>what</w:t>
            </w:r>
            <w:r w:rsidR="002D3740">
              <w:rPr>
                <w:i/>
              </w:rPr>
              <w:t xml:space="preserve"> the</w:t>
            </w:r>
            <w:r w:rsidR="00D176EE">
              <w:rPr>
                <w:i/>
              </w:rPr>
              <w:t xml:space="preserve"> appropriate level or </w:t>
            </w:r>
            <w:r w:rsidR="00081E8A">
              <w:rPr>
                <w:i/>
              </w:rPr>
              <w:t xml:space="preserve">realistic goal is in your context.  Identifying your indicators of success for context-appropriate implementations of this element can help future planning.  </w:t>
            </w:r>
          </w:p>
          <w:p w14:paraId="2CFBF1B9" w14:textId="77777777" w:rsidR="00081E8A" w:rsidRDefault="00081E8A" w:rsidP="001721D0">
            <w:pPr>
              <w:keepNext/>
              <w:rPr>
                <w:i/>
              </w:rPr>
            </w:pPr>
          </w:p>
          <w:p w14:paraId="587501C6" w14:textId="77777777" w:rsidR="008341AA" w:rsidRPr="00CB5C3F" w:rsidRDefault="008341AA" w:rsidP="001721D0">
            <w:pPr>
              <w:keepNext/>
              <w:rPr>
                <w:i/>
              </w:rPr>
            </w:pPr>
            <w:r>
              <w:rPr>
                <w:i/>
              </w:rPr>
              <w:t>In your context, what does a successful implementation of this element look like</w:t>
            </w:r>
            <w:r w:rsidRPr="00961D02">
              <w:rPr>
                <w:i/>
              </w:rPr>
              <w:t>?</w:t>
            </w:r>
            <w:r w:rsidRPr="003471D7">
              <w:rPr>
                <w:i/>
              </w:rPr>
              <w:t xml:space="preserve"> </w:t>
            </w:r>
            <w:r w:rsidR="00341FD3">
              <w:rPr>
                <w:i/>
              </w:rPr>
              <w:t xml:space="preserve"> </w:t>
            </w:r>
            <w:r w:rsidR="00341FD3" w:rsidRPr="003471D7">
              <w:rPr>
                <w:i/>
              </w:rPr>
              <w:t xml:space="preserve">What </w:t>
            </w:r>
            <w:r w:rsidR="00341FD3">
              <w:rPr>
                <w:i/>
              </w:rPr>
              <w:t>indicators could you use to know if your plans have been successful?</w:t>
            </w:r>
          </w:p>
        </w:tc>
      </w:tr>
      <w:tr w:rsidR="008341AA" w:rsidRPr="00DE1A35" w14:paraId="72C9AB04" w14:textId="77777777" w:rsidTr="00E80103">
        <w:tc>
          <w:tcPr>
            <w:tcW w:w="9016" w:type="dxa"/>
            <w:gridSpan w:val="2"/>
            <w:shd w:val="clear" w:color="auto" w:fill="FFFFFF" w:themeFill="background1"/>
          </w:tcPr>
          <w:p w14:paraId="60487677" w14:textId="77777777" w:rsidR="008341AA" w:rsidRDefault="008341AA" w:rsidP="008341AA"/>
          <w:p w14:paraId="56F5A9EA" w14:textId="77777777" w:rsidR="00CB5C3F" w:rsidRDefault="00CB5C3F" w:rsidP="008341AA"/>
          <w:p w14:paraId="29846B6C" w14:textId="77777777" w:rsidR="00CB5C3F" w:rsidRDefault="00CB5C3F" w:rsidP="008341AA"/>
          <w:p w14:paraId="5819D9E9" w14:textId="77777777" w:rsidR="008341AA" w:rsidRDefault="008341AA" w:rsidP="008341AA"/>
        </w:tc>
      </w:tr>
      <w:tr w:rsidR="008341AA" w:rsidRPr="00DE1A35" w14:paraId="084F65A7" w14:textId="77777777" w:rsidTr="00E80103">
        <w:tc>
          <w:tcPr>
            <w:tcW w:w="9016" w:type="dxa"/>
            <w:gridSpan w:val="2"/>
            <w:shd w:val="clear" w:color="auto" w:fill="5B9BD5" w:themeFill="accent1"/>
          </w:tcPr>
          <w:p w14:paraId="3DB29D75" w14:textId="77777777" w:rsidR="008341AA" w:rsidRPr="00DE1A35" w:rsidRDefault="008341AA" w:rsidP="008341AA">
            <w:pPr>
              <w:keepNext/>
              <w:tabs>
                <w:tab w:val="left" w:pos="3265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SELF-ASSESSMENT</w:t>
            </w:r>
            <w:r>
              <w:rPr>
                <w:b/>
                <w:color w:val="FFFFFF" w:themeColor="background1"/>
              </w:rPr>
              <w:tab/>
            </w:r>
          </w:p>
        </w:tc>
      </w:tr>
      <w:tr w:rsidR="008341AA" w:rsidRPr="00C541C7" w14:paraId="10305D48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193EF6E2" w14:textId="77777777" w:rsidR="008341AA" w:rsidRDefault="00380218" w:rsidP="008341AA">
            <w:pPr>
              <w:keepNext/>
              <w:rPr>
                <w:i/>
              </w:rPr>
            </w:pPr>
            <w:r>
              <w:rPr>
                <w:i/>
              </w:rPr>
              <w:t>B</w:t>
            </w:r>
            <w:r w:rsidR="008341AA" w:rsidRPr="00C541C7">
              <w:rPr>
                <w:i/>
              </w:rPr>
              <w:t xml:space="preserve">ased on your analysis, how </w:t>
            </w:r>
            <w:r w:rsidR="008341AA">
              <w:rPr>
                <w:i/>
              </w:rPr>
              <w:t xml:space="preserve">do </w:t>
            </w:r>
            <w:r w:rsidR="008341AA" w:rsidRPr="00C541C7">
              <w:rPr>
                <w:i/>
              </w:rPr>
              <w:t xml:space="preserve">you </w:t>
            </w:r>
            <w:r w:rsidR="008341AA">
              <w:rPr>
                <w:i/>
              </w:rPr>
              <w:t xml:space="preserve">currently </w:t>
            </w:r>
            <w:r w:rsidR="008341AA" w:rsidRPr="00C541C7">
              <w:rPr>
                <w:i/>
              </w:rPr>
              <w:t xml:space="preserve">assess your overall </w:t>
            </w:r>
            <w:r w:rsidR="008341AA">
              <w:rPr>
                <w:i/>
              </w:rPr>
              <w:t>activity in relation to this element and where would the appropriate level lie</w:t>
            </w:r>
            <w:r w:rsidR="006C2A74">
              <w:rPr>
                <w:i/>
              </w:rPr>
              <w:t xml:space="preserve"> in your context</w:t>
            </w:r>
            <w:r w:rsidR="008341AA">
              <w:rPr>
                <w:i/>
              </w:rPr>
              <w:t>?</w:t>
            </w:r>
          </w:p>
          <w:p w14:paraId="3CBAC847" w14:textId="77777777" w:rsidR="005238B0" w:rsidRDefault="005238B0" w:rsidP="008341AA">
            <w:pPr>
              <w:keepNext/>
              <w:rPr>
                <w:i/>
              </w:rPr>
            </w:pPr>
          </w:p>
          <w:p w14:paraId="68FB6A78" w14:textId="5D6F0346" w:rsidR="005238B0" w:rsidRPr="00C541C7" w:rsidRDefault="00246F13" w:rsidP="00246F13">
            <w:pPr>
              <w:keepNext/>
              <w:rPr>
                <w:i/>
              </w:rPr>
            </w:pPr>
            <w:r>
              <w:rPr>
                <w:i/>
              </w:rPr>
              <w:t xml:space="preserve">On </w:t>
            </w:r>
            <w:r w:rsidR="005238B0">
              <w:rPr>
                <w:i/>
              </w:rPr>
              <w:t xml:space="preserve">each of the </w:t>
            </w:r>
            <w:r>
              <w:rPr>
                <w:i/>
              </w:rPr>
              <w:t xml:space="preserve">scales </w:t>
            </w:r>
            <w:r w:rsidR="005238B0">
              <w:rPr>
                <w:i/>
              </w:rPr>
              <w:t>below</w:t>
            </w:r>
            <w:r>
              <w:rPr>
                <w:i/>
              </w:rPr>
              <w:t xml:space="preserve">, enter a ‘C’ </w:t>
            </w:r>
            <w:r w:rsidR="005238B0">
              <w:rPr>
                <w:i/>
              </w:rPr>
              <w:t xml:space="preserve">for the current </w:t>
            </w:r>
            <w:r>
              <w:rPr>
                <w:i/>
              </w:rPr>
              <w:t xml:space="preserve">state of your provision </w:t>
            </w:r>
            <w:r w:rsidR="005238B0">
              <w:rPr>
                <w:i/>
              </w:rPr>
              <w:t xml:space="preserve">and </w:t>
            </w:r>
            <w:r>
              <w:rPr>
                <w:i/>
              </w:rPr>
              <w:t xml:space="preserve">a ‘G’ </w:t>
            </w:r>
            <w:r w:rsidR="005238B0">
              <w:rPr>
                <w:i/>
              </w:rPr>
              <w:t>for your goal position.</w:t>
            </w:r>
          </w:p>
        </w:tc>
      </w:tr>
      <w:tr w:rsidR="008341AA" w:rsidRPr="00BF4F26" w14:paraId="786E7351" w14:textId="77777777" w:rsidTr="007F5AE1">
        <w:trPr>
          <w:cantSplit/>
          <w:trHeight w:val="2459"/>
        </w:trPr>
        <w:tc>
          <w:tcPr>
            <w:tcW w:w="9016" w:type="dxa"/>
            <w:gridSpan w:val="2"/>
          </w:tcPr>
          <w:p w14:paraId="6F2FE241" w14:textId="5E5B0934" w:rsidR="008341AA" w:rsidRDefault="005238B0" w:rsidP="009E5874">
            <w:pPr>
              <w:spacing w:after="240" w:line="276" w:lineRule="auto"/>
              <w:rPr>
                <w:b/>
              </w:rPr>
            </w:pPr>
            <w:r>
              <w:rPr>
                <w:b/>
              </w:rPr>
              <w:t>P</w:t>
            </w:r>
            <w:r w:rsidR="008341AA">
              <w:rPr>
                <w:b/>
              </w:rPr>
              <w:t>rovision in this area:</w:t>
            </w:r>
          </w:p>
          <w:p w14:paraId="7E6A3698" w14:textId="63539399" w:rsidR="009E5874" w:rsidRDefault="009E5874" w:rsidP="007F5AE1">
            <w:pPr>
              <w:keepNext/>
              <w:tabs>
                <w:tab w:val="right" w:pos="8803"/>
              </w:tabs>
              <w:rPr>
                <w:i/>
              </w:rPr>
            </w:pPr>
            <w:r>
              <w:rPr>
                <w:i/>
              </w:rPr>
              <w:t xml:space="preserve">Non-existent </w:t>
            </w:r>
            <w:r>
              <w:rPr>
                <w:i/>
              </w:rPr>
              <w:tab/>
              <w:t>Substantial</w:t>
            </w:r>
          </w:p>
          <w:tbl>
            <w:tblPr>
              <w:tblpPr w:leftFromText="181" w:rightFromText="181" w:vertAnchor="text" w:tblpXSpec="center" w:tblpY="1"/>
              <w:tblOverlap w:val="never"/>
              <w:tblW w:w="8400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9E5874" w:rsidRPr="00E7558A" w14:paraId="396FFF95" w14:textId="77777777" w:rsidTr="00694021">
              <w:trPr>
                <w:trHeight w:val="300"/>
              </w:trPr>
              <w:tc>
                <w:tcPr>
                  <w:tcW w:w="400" w:type="dxa"/>
                  <w:shd w:val="clear" w:color="000000" w:fill="FFFFFF"/>
                  <w:noWrap/>
                  <w:vAlign w:val="bottom"/>
                </w:tcPr>
                <w:p w14:paraId="77C3583F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F7FAFD"/>
                  <w:noWrap/>
                  <w:vAlign w:val="bottom"/>
                </w:tcPr>
                <w:p w14:paraId="1C1D5E60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EFF5FB"/>
                  <w:noWrap/>
                  <w:vAlign w:val="bottom"/>
                </w:tcPr>
                <w:p w14:paraId="2DBA5B86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E7F0F9"/>
                  <w:noWrap/>
                  <w:vAlign w:val="bottom"/>
                </w:tcPr>
                <w:p w14:paraId="6155E491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DFEBF7"/>
                  <w:noWrap/>
                  <w:vAlign w:val="bottom"/>
                </w:tcPr>
                <w:p w14:paraId="372E740E" w14:textId="5F1307AA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D6E6F5"/>
                  <w:noWrap/>
                  <w:vAlign w:val="bottom"/>
                </w:tcPr>
                <w:p w14:paraId="0C270DB6" w14:textId="459BA70B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CEE1F3"/>
                  <w:noWrap/>
                  <w:vAlign w:val="bottom"/>
                </w:tcPr>
                <w:p w14:paraId="5145C3A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C6DCF1"/>
                  <w:noWrap/>
                  <w:vAlign w:val="bottom"/>
                </w:tcPr>
                <w:p w14:paraId="7C70A567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BED7EF"/>
                  <w:noWrap/>
                  <w:vAlign w:val="bottom"/>
                </w:tcPr>
                <w:p w14:paraId="08864D4B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B6D2ED"/>
                  <w:noWrap/>
                  <w:vAlign w:val="bottom"/>
                </w:tcPr>
                <w:p w14:paraId="234FE6E0" w14:textId="7819E38A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ADCDEA"/>
                  <w:noWrap/>
                  <w:vAlign w:val="bottom"/>
                </w:tcPr>
                <w:p w14:paraId="4B58F4CB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A5C8E8"/>
                  <w:noWrap/>
                  <w:vAlign w:val="bottom"/>
                </w:tcPr>
                <w:p w14:paraId="2EB3EC49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9DC3E6"/>
                  <w:noWrap/>
                  <w:vAlign w:val="bottom"/>
                </w:tcPr>
                <w:p w14:paraId="477C6C82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95BEE4"/>
                  <w:noWrap/>
                  <w:vAlign w:val="bottom"/>
                </w:tcPr>
                <w:p w14:paraId="0B5B95B7" w14:textId="4DF2031A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8DB9E2"/>
                  <w:noWrap/>
                  <w:vAlign w:val="bottom"/>
                </w:tcPr>
                <w:p w14:paraId="538B42D4" w14:textId="3CDEE94D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84B4E0"/>
                  <w:noWrap/>
                  <w:vAlign w:val="bottom"/>
                </w:tcPr>
                <w:p w14:paraId="208FA572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7CAFDE"/>
                  <w:noWrap/>
                  <w:vAlign w:val="bottom"/>
                </w:tcPr>
                <w:p w14:paraId="41CAC581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74AADC"/>
                  <w:noWrap/>
                  <w:vAlign w:val="bottom"/>
                </w:tcPr>
                <w:p w14:paraId="1B07BD75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6CA5DA"/>
                  <w:noWrap/>
                  <w:vAlign w:val="bottom"/>
                </w:tcPr>
                <w:p w14:paraId="12FBF1F2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64A0D8"/>
                  <w:noWrap/>
                  <w:vAlign w:val="bottom"/>
                </w:tcPr>
                <w:p w14:paraId="667D8C7B" w14:textId="31B1D259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5B9BD5"/>
                  <w:noWrap/>
                  <w:vAlign w:val="bottom"/>
                </w:tcPr>
                <w:p w14:paraId="79833408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3F7E9FC0" w14:textId="0F05BBA4" w:rsidR="009E5874" w:rsidRDefault="009E5874" w:rsidP="007F5AE1">
            <w:pPr>
              <w:keepNext/>
              <w:tabs>
                <w:tab w:val="right" w:pos="8803"/>
              </w:tabs>
              <w:spacing w:before="120"/>
              <w:rPr>
                <w:i/>
              </w:rPr>
            </w:pPr>
            <w:r>
              <w:rPr>
                <w:i/>
              </w:rPr>
              <w:t>Of limited effectiveness</w:t>
            </w:r>
            <w:r>
              <w:rPr>
                <w:i/>
              </w:rPr>
              <w:tab/>
              <w:t>Highly effective</w:t>
            </w:r>
          </w:p>
          <w:tbl>
            <w:tblPr>
              <w:tblpPr w:leftFromText="181" w:rightFromText="181" w:vertAnchor="text" w:tblpXSpec="center" w:tblpY="1"/>
              <w:tblOverlap w:val="never"/>
              <w:tblW w:w="8400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9E5874" w:rsidRPr="00E7558A" w14:paraId="41F08F98" w14:textId="77777777" w:rsidTr="00694021">
              <w:trPr>
                <w:trHeight w:val="300"/>
              </w:trPr>
              <w:tc>
                <w:tcPr>
                  <w:tcW w:w="400" w:type="dxa"/>
                  <w:shd w:val="clear" w:color="000000" w:fill="FFFFFF"/>
                  <w:noWrap/>
                  <w:vAlign w:val="bottom"/>
                </w:tcPr>
                <w:p w14:paraId="67FEF90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F7FAFD"/>
                  <w:noWrap/>
                  <w:vAlign w:val="bottom"/>
                </w:tcPr>
                <w:p w14:paraId="3BA54861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EFF5FB"/>
                  <w:noWrap/>
                  <w:vAlign w:val="bottom"/>
                </w:tcPr>
                <w:p w14:paraId="4ED69737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E7F0F9"/>
                  <w:noWrap/>
                  <w:vAlign w:val="bottom"/>
                </w:tcPr>
                <w:p w14:paraId="1973FAF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DFEBF7"/>
                  <w:noWrap/>
                  <w:vAlign w:val="bottom"/>
                </w:tcPr>
                <w:p w14:paraId="117085DE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D6E6F5"/>
                  <w:noWrap/>
                  <w:vAlign w:val="bottom"/>
                </w:tcPr>
                <w:p w14:paraId="24CC53D7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CEE1F3"/>
                  <w:noWrap/>
                  <w:vAlign w:val="bottom"/>
                </w:tcPr>
                <w:p w14:paraId="4DB92FC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C6DCF1"/>
                  <w:noWrap/>
                  <w:vAlign w:val="bottom"/>
                </w:tcPr>
                <w:p w14:paraId="546BBD5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BED7EF"/>
                  <w:noWrap/>
                  <w:vAlign w:val="bottom"/>
                </w:tcPr>
                <w:p w14:paraId="444C7639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B6D2ED"/>
                  <w:noWrap/>
                  <w:vAlign w:val="bottom"/>
                </w:tcPr>
                <w:p w14:paraId="44602F97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ADCDEA"/>
                  <w:noWrap/>
                  <w:vAlign w:val="bottom"/>
                </w:tcPr>
                <w:p w14:paraId="390E8740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A5C8E8"/>
                  <w:noWrap/>
                  <w:vAlign w:val="bottom"/>
                </w:tcPr>
                <w:p w14:paraId="7D678274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9DC3E6"/>
                  <w:noWrap/>
                  <w:vAlign w:val="bottom"/>
                </w:tcPr>
                <w:p w14:paraId="0704A50A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95BEE4"/>
                  <w:noWrap/>
                  <w:vAlign w:val="bottom"/>
                </w:tcPr>
                <w:p w14:paraId="583C1EB6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8DB9E2"/>
                  <w:noWrap/>
                  <w:vAlign w:val="bottom"/>
                </w:tcPr>
                <w:p w14:paraId="15732128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84B4E0"/>
                  <w:noWrap/>
                  <w:vAlign w:val="bottom"/>
                </w:tcPr>
                <w:p w14:paraId="7CCBCABA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7CAFDE"/>
                  <w:noWrap/>
                  <w:vAlign w:val="bottom"/>
                </w:tcPr>
                <w:p w14:paraId="312D418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74AADC"/>
                  <w:noWrap/>
                  <w:vAlign w:val="bottom"/>
                </w:tcPr>
                <w:p w14:paraId="30387AFE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6CA5DA"/>
                  <w:noWrap/>
                  <w:vAlign w:val="bottom"/>
                </w:tcPr>
                <w:p w14:paraId="01D321AB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64A0D8"/>
                  <w:noWrap/>
                  <w:vAlign w:val="bottom"/>
                </w:tcPr>
                <w:p w14:paraId="1BBF43DD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5B9BD5"/>
                  <w:noWrap/>
                  <w:vAlign w:val="bottom"/>
                </w:tcPr>
                <w:p w14:paraId="139B253F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11E3B763" w14:textId="67E13EB1" w:rsidR="009E5874" w:rsidRDefault="009E5874" w:rsidP="007F5AE1">
            <w:pPr>
              <w:keepNext/>
              <w:tabs>
                <w:tab w:val="right" w:pos="8803"/>
              </w:tabs>
              <w:spacing w:before="120"/>
              <w:rPr>
                <w:i/>
              </w:rPr>
            </w:pPr>
            <w:r>
              <w:rPr>
                <w:i/>
              </w:rPr>
              <w:t>Clustered within the degree</w:t>
            </w:r>
            <w:r>
              <w:rPr>
                <w:i/>
              </w:rPr>
              <w:tab/>
              <w:t>Spread throughout the degree</w:t>
            </w:r>
          </w:p>
          <w:tbl>
            <w:tblPr>
              <w:tblpPr w:leftFromText="181" w:rightFromText="181" w:vertAnchor="text" w:tblpXSpec="center" w:tblpY="1"/>
              <w:tblOverlap w:val="never"/>
              <w:tblW w:w="8400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9E5874" w:rsidRPr="00E7558A" w14:paraId="5885FF24" w14:textId="77777777" w:rsidTr="00694021">
              <w:trPr>
                <w:trHeight w:val="300"/>
              </w:trPr>
              <w:tc>
                <w:tcPr>
                  <w:tcW w:w="400" w:type="dxa"/>
                  <w:shd w:val="clear" w:color="000000" w:fill="FFFFFF"/>
                  <w:noWrap/>
                  <w:vAlign w:val="bottom"/>
                </w:tcPr>
                <w:p w14:paraId="7818810C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F7FAFD"/>
                  <w:noWrap/>
                  <w:vAlign w:val="bottom"/>
                </w:tcPr>
                <w:p w14:paraId="5F1B9CD3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EFF5FB"/>
                  <w:noWrap/>
                  <w:vAlign w:val="bottom"/>
                </w:tcPr>
                <w:p w14:paraId="415C210B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E7F0F9"/>
                  <w:noWrap/>
                  <w:vAlign w:val="bottom"/>
                </w:tcPr>
                <w:p w14:paraId="066C8D66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DFEBF7"/>
                  <w:noWrap/>
                  <w:vAlign w:val="bottom"/>
                </w:tcPr>
                <w:p w14:paraId="0D7932D6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D6E6F5"/>
                  <w:noWrap/>
                  <w:vAlign w:val="bottom"/>
                </w:tcPr>
                <w:p w14:paraId="7D9FF8BB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CEE1F3"/>
                  <w:noWrap/>
                  <w:vAlign w:val="bottom"/>
                </w:tcPr>
                <w:p w14:paraId="7D161896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C6DCF1"/>
                  <w:noWrap/>
                  <w:vAlign w:val="bottom"/>
                </w:tcPr>
                <w:p w14:paraId="53BA4008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BED7EF"/>
                  <w:noWrap/>
                  <w:vAlign w:val="bottom"/>
                </w:tcPr>
                <w:p w14:paraId="2B375164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B6D2ED"/>
                  <w:noWrap/>
                  <w:vAlign w:val="bottom"/>
                </w:tcPr>
                <w:p w14:paraId="043A450B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ADCDEA"/>
                  <w:noWrap/>
                  <w:vAlign w:val="bottom"/>
                </w:tcPr>
                <w:p w14:paraId="4A77770F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A5C8E8"/>
                  <w:noWrap/>
                  <w:vAlign w:val="bottom"/>
                </w:tcPr>
                <w:p w14:paraId="641F5FE6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9DC3E6"/>
                  <w:noWrap/>
                  <w:vAlign w:val="bottom"/>
                </w:tcPr>
                <w:p w14:paraId="22AEF883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95BEE4"/>
                  <w:noWrap/>
                  <w:vAlign w:val="bottom"/>
                </w:tcPr>
                <w:p w14:paraId="2D807A08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8DB9E2"/>
                  <w:noWrap/>
                  <w:vAlign w:val="bottom"/>
                </w:tcPr>
                <w:p w14:paraId="34D6407A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84B4E0"/>
                  <w:noWrap/>
                  <w:vAlign w:val="bottom"/>
                </w:tcPr>
                <w:p w14:paraId="1A744B4F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7CAFDE"/>
                  <w:noWrap/>
                  <w:vAlign w:val="bottom"/>
                </w:tcPr>
                <w:p w14:paraId="7A79D802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74AADC"/>
                  <w:noWrap/>
                  <w:vAlign w:val="bottom"/>
                </w:tcPr>
                <w:p w14:paraId="2F60BB6A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6CA5DA"/>
                  <w:noWrap/>
                  <w:vAlign w:val="bottom"/>
                </w:tcPr>
                <w:p w14:paraId="2D02A08F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64A0D8"/>
                  <w:noWrap/>
                  <w:vAlign w:val="bottom"/>
                </w:tcPr>
                <w:p w14:paraId="58D659A0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" w:type="dxa"/>
                  <w:shd w:val="clear" w:color="000000" w:fill="5B9BD5"/>
                  <w:noWrap/>
                  <w:vAlign w:val="bottom"/>
                </w:tcPr>
                <w:p w14:paraId="32393A80" w14:textId="77777777" w:rsidR="009E5874" w:rsidRPr="00E7558A" w:rsidRDefault="009E5874" w:rsidP="009E58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7B11E440" w14:textId="501D56A7" w:rsidR="008341AA" w:rsidRPr="00DD1762" w:rsidRDefault="009E5874" w:rsidP="008341AA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8341AA" w:rsidRPr="003471D7" w14:paraId="1448FD8D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3E763B63" w14:textId="77777777" w:rsidR="008341AA" w:rsidRDefault="00C35EEA" w:rsidP="00C35EEA">
            <w:pPr>
              <w:keepNext/>
              <w:rPr>
                <w:b/>
              </w:rPr>
            </w:pPr>
            <w:r w:rsidRPr="00C35EEA">
              <w:rPr>
                <w:b/>
              </w:rPr>
              <w:t>Other comments</w:t>
            </w:r>
          </w:p>
          <w:p w14:paraId="404AE53C" w14:textId="58D1179C" w:rsidR="00C35EEA" w:rsidRPr="00C35EEA" w:rsidRDefault="00C35EEA" w:rsidP="00C35EEA">
            <w:pPr>
              <w:keepNext/>
              <w:rPr>
                <w:b/>
              </w:rPr>
            </w:pPr>
            <w:r>
              <w:rPr>
                <w:i/>
              </w:rPr>
              <w:t xml:space="preserve">Capture below </w:t>
            </w:r>
            <w:r w:rsidRPr="00C35EEA">
              <w:rPr>
                <w:i/>
              </w:rPr>
              <w:t xml:space="preserve">any comments </w:t>
            </w:r>
            <w:r>
              <w:rPr>
                <w:i/>
              </w:rPr>
              <w:t xml:space="preserve">on </w:t>
            </w:r>
            <w:r w:rsidRPr="00C35EEA">
              <w:rPr>
                <w:i/>
              </w:rPr>
              <w:t>the rating</w:t>
            </w:r>
            <w:r>
              <w:rPr>
                <w:i/>
              </w:rPr>
              <w:t>s</w:t>
            </w:r>
            <w:r w:rsidRPr="00C35EEA">
              <w:rPr>
                <w:i/>
              </w:rPr>
              <w:t xml:space="preserve"> that would be helpful for </w:t>
            </w:r>
            <w:r>
              <w:rPr>
                <w:i/>
              </w:rPr>
              <w:t>yourself</w:t>
            </w:r>
            <w:r w:rsidRPr="00C35EEA">
              <w:rPr>
                <w:i/>
              </w:rPr>
              <w:t xml:space="preserve"> or your colleagues.</w:t>
            </w:r>
          </w:p>
        </w:tc>
      </w:tr>
      <w:tr w:rsidR="008341AA" w:rsidRPr="00A33309" w14:paraId="249460C7" w14:textId="77777777" w:rsidTr="00C35EEA">
        <w:trPr>
          <w:trHeight w:val="1021"/>
        </w:trPr>
        <w:tc>
          <w:tcPr>
            <w:tcW w:w="9016" w:type="dxa"/>
            <w:gridSpan w:val="2"/>
            <w:shd w:val="clear" w:color="auto" w:fill="FFFFFF" w:themeFill="background1"/>
          </w:tcPr>
          <w:p w14:paraId="4E0123E8" w14:textId="77777777" w:rsidR="008341AA" w:rsidRDefault="008341AA" w:rsidP="008341AA"/>
          <w:p w14:paraId="0E74740A" w14:textId="5F6C04CD" w:rsidR="007F5AE1" w:rsidRPr="00A33309" w:rsidRDefault="007F5AE1" w:rsidP="008341AA"/>
        </w:tc>
      </w:tr>
      <w:tr w:rsidR="008341AA" w:rsidRPr="00DE1A35" w14:paraId="2DFBF9C1" w14:textId="77777777" w:rsidTr="00E80103">
        <w:tc>
          <w:tcPr>
            <w:tcW w:w="9016" w:type="dxa"/>
            <w:gridSpan w:val="2"/>
            <w:shd w:val="clear" w:color="auto" w:fill="5B9BD5" w:themeFill="accent1"/>
          </w:tcPr>
          <w:p w14:paraId="6B516E29" w14:textId="67FD1F54" w:rsidR="008341AA" w:rsidRPr="00DE1A35" w:rsidRDefault="008341AA">
            <w:pPr>
              <w:keepNext/>
              <w:rPr>
                <w:b/>
                <w:color w:val="FFFFFF" w:themeColor="background1"/>
              </w:rPr>
            </w:pPr>
            <w:r w:rsidRPr="00DE1A35">
              <w:rPr>
                <w:b/>
                <w:color w:val="FFFFFF" w:themeColor="background1"/>
              </w:rPr>
              <w:lastRenderedPageBreak/>
              <w:t>ACTION PLANNING</w:t>
            </w:r>
            <w:r w:rsidRPr="00DF28EB">
              <w:rPr>
                <w:color w:val="FFFFFF" w:themeColor="background1"/>
              </w:rPr>
              <w:t xml:space="preserve"> (existing or new plans</w:t>
            </w:r>
            <w:r w:rsidR="00366B6A">
              <w:rPr>
                <w:color w:val="FFFFFF" w:themeColor="background1"/>
              </w:rPr>
              <w:t xml:space="preserve"> – focus on how to lessen </w:t>
            </w:r>
            <w:r w:rsidR="005238B0">
              <w:rPr>
                <w:color w:val="FFFFFF" w:themeColor="background1"/>
              </w:rPr>
              <w:t xml:space="preserve">any </w:t>
            </w:r>
            <w:r w:rsidR="00366B6A">
              <w:rPr>
                <w:color w:val="FFFFFF" w:themeColor="background1"/>
              </w:rPr>
              <w:t>gap</w:t>
            </w:r>
            <w:r w:rsidR="001F1BB0">
              <w:rPr>
                <w:color w:val="FFFFFF" w:themeColor="background1"/>
              </w:rPr>
              <w:t xml:space="preserve"> </w:t>
            </w:r>
            <w:r w:rsidR="00366B6A">
              <w:rPr>
                <w:color w:val="FFFFFF" w:themeColor="background1"/>
              </w:rPr>
              <w:t xml:space="preserve">between </w:t>
            </w:r>
            <w:r w:rsidR="005238B0">
              <w:rPr>
                <w:color w:val="FFFFFF" w:themeColor="background1"/>
              </w:rPr>
              <w:t>the current and goal positions for this element</w:t>
            </w:r>
            <w:r w:rsidRPr="00DF28EB">
              <w:rPr>
                <w:color w:val="FFFFFF" w:themeColor="background1"/>
              </w:rPr>
              <w:t>)</w:t>
            </w:r>
          </w:p>
        </w:tc>
      </w:tr>
      <w:tr w:rsidR="008341AA" w:rsidRPr="00756BD9" w14:paraId="53C5B4A3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36A93974" w14:textId="77777777" w:rsidR="008341AA" w:rsidRPr="00756BD9" w:rsidRDefault="008341AA" w:rsidP="008341AA">
            <w:pPr>
              <w:keepNext/>
              <w:rPr>
                <w:b/>
              </w:rPr>
            </w:pPr>
            <w:r>
              <w:rPr>
                <w:b/>
              </w:rPr>
              <w:t>Opportunities</w:t>
            </w:r>
            <w:r w:rsidRPr="00756BD9">
              <w:rPr>
                <w:b/>
              </w:rPr>
              <w:t xml:space="preserve"> – quick wins</w:t>
            </w:r>
          </w:p>
          <w:p w14:paraId="150DF6E7" w14:textId="77777777" w:rsidR="008341AA" w:rsidRPr="00756BD9" w:rsidRDefault="008341AA" w:rsidP="00496B30">
            <w:pPr>
              <w:keepNext/>
            </w:pPr>
            <w:r w:rsidRPr="00756BD9">
              <w:rPr>
                <w:i/>
              </w:rPr>
              <w:t xml:space="preserve">What quick wins are possible </w:t>
            </w:r>
            <w:r>
              <w:rPr>
                <w:i/>
              </w:rPr>
              <w:t xml:space="preserve">for </w:t>
            </w:r>
            <w:r w:rsidRPr="00756BD9">
              <w:rPr>
                <w:i/>
              </w:rPr>
              <w:t xml:space="preserve">this </w:t>
            </w:r>
            <w:r>
              <w:rPr>
                <w:i/>
              </w:rPr>
              <w:t>element</w:t>
            </w:r>
            <w:r w:rsidRPr="00756BD9">
              <w:rPr>
                <w:i/>
              </w:rPr>
              <w:t xml:space="preserve">?  What is required to make these a reality?  </w:t>
            </w:r>
          </w:p>
        </w:tc>
      </w:tr>
      <w:tr w:rsidR="008341AA" w:rsidRPr="00756BD9" w14:paraId="1D2D7EC5" w14:textId="77777777" w:rsidTr="00E80103">
        <w:tc>
          <w:tcPr>
            <w:tcW w:w="9016" w:type="dxa"/>
            <w:gridSpan w:val="2"/>
          </w:tcPr>
          <w:p w14:paraId="62AFBE4F" w14:textId="77777777" w:rsidR="008341AA" w:rsidRDefault="008341AA" w:rsidP="008341AA"/>
          <w:p w14:paraId="0B24C886" w14:textId="77777777" w:rsidR="008341AA" w:rsidRPr="00756BD9" w:rsidRDefault="008341AA" w:rsidP="008341AA"/>
        </w:tc>
      </w:tr>
      <w:tr w:rsidR="008341AA" w:rsidRPr="00756BD9" w14:paraId="3BC8C3EC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756506FB" w14:textId="77777777" w:rsidR="008341AA" w:rsidRPr="00756BD9" w:rsidRDefault="008341AA" w:rsidP="008341AA">
            <w:pPr>
              <w:keepNext/>
              <w:rPr>
                <w:b/>
              </w:rPr>
            </w:pPr>
            <w:r>
              <w:rPr>
                <w:b/>
              </w:rPr>
              <w:t>Opportunities</w:t>
            </w:r>
            <w:r w:rsidRPr="00756BD9">
              <w:rPr>
                <w:b/>
              </w:rPr>
              <w:t xml:space="preserve"> – longer-term plans</w:t>
            </w:r>
          </w:p>
          <w:p w14:paraId="3FC9CCF6" w14:textId="77777777" w:rsidR="008341AA" w:rsidRPr="00756BD9" w:rsidRDefault="008341AA" w:rsidP="00DF00DC">
            <w:pPr>
              <w:keepNext/>
              <w:rPr>
                <w:i/>
              </w:rPr>
            </w:pPr>
            <w:r w:rsidRPr="00756BD9">
              <w:rPr>
                <w:i/>
              </w:rPr>
              <w:t xml:space="preserve">What longer-term changes are needed to see more substantial progress </w:t>
            </w:r>
            <w:r>
              <w:rPr>
                <w:i/>
              </w:rPr>
              <w:t xml:space="preserve">for </w:t>
            </w:r>
            <w:r w:rsidRPr="00756BD9">
              <w:rPr>
                <w:i/>
              </w:rPr>
              <w:t xml:space="preserve">this </w:t>
            </w:r>
            <w:r>
              <w:rPr>
                <w:i/>
              </w:rPr>
              <w:t>element</w:t>
            </w:r>
            <w:r w:rsidRPr="00756BD9">
              <w:rPr>
                <w:i/>
              </w:rPr>
              <w:t xml:space="preserve">?  What is required to make these a reality?  </w:t>
            </w:r>
          </w:p>
        </w:tc>
      </w:tr>
      <w:tr w:rsidR="008341AA" w14:paraId="55F9DA45" w14:textId="77777777" w:rsidTr="00E80103">
        <w:tc>
          <w:tcPr>
            <w:tcW w:w="9016" w:type="dxa"/>
            <w:gridSpan w:val="2"/>
          </w:tcPr>
          <w:p w14:paraId="2011044F" w14:textId="77777777" w:rsidR="008341AA" w:rsidRDefault="008341AA" w:rsidP="008341AA"/>
          <w:p w14:paraId="47DF20CB" w14:textId="77777777" w:rsidR="008341AA" w:rsidRDefault="008341AA" w:rsidP="008341AA"/>
        </w:tc>
      </w:tr>
      <w:tr w:rsidR="00DF00DC" w14:paraId="100A9911" w14:textId="77777777" w:rsidTr="00E80103">
        <w:tc>
          <w:tcPr>
            <w:tcW w:w="9016" w:type="dxa"/>
            <w:gridSpan w:val="2"/>
            <w:shd w:val="clear" w:color="auto" w:fill="DEEAF6" w:themeFill="accent1" w:themeFillTint="33"/>
          </w:tcPr>
          <w:p w14:paraId="6D3770B1" w14:textId="77777777" w:rsidR="00DF00DC" w:rsidRDefault="00DF00DC" w:rsidP="007F5AE1">
            <w:pPr>
              <w:keepNext/>
              <w:rPr>
                <w:b/>
              </w:rPr>
            </w:pPr>
            <w:r>
              <w:rPr>
                <w:b/>
              </w:rPr>
              <w:t>Who can you engage to help you with your plans?</w:t>
            </w:r>
          </w:p>
          <w:p w14:paraId="02EB1829" w14:textId="77777777" w:rsidR="00DF00DC" w:rsidRPr="00DF00DC" w:rsidRDefault="00DF00DC" w:rsidP="008341AA">
            <w:r w:rsidRPr="00756BD9">
              <w:rPr>
                <w:i/>
              </w:rPr>
              <w:t xml:space="preserve">Support could </w:t>
            </w:r>
            <w:r>
              <w:rPr>
                <w:i/>
              </w:rPr>
              <w:t xml:space="preserve">come </w:t>
            </w:r>
            <w:r w:rsidRPr="00756BD9">
              <w:rPr>
                <w:i/>
              </w:rPr>
              <w:t>from within your school and/or from elsewhere in the University, e.g. the Careers Service</w:t>
            </w:r>
            <w:r>
              <w:rPr>
                <w:i/>
              </w:rPr>
              <w:t>, IAD, IS, Development and Alumni</w:t>
            </w:r>
            <w:r w:rsidRPr="00756BD9">
              <w:rPr>
                <w:i/>
              </w:rPr>
              <w:t>.</w:t>
            </w:r>
          </w:p>
        </w:tc>
      </w:tr>
      <w:tr w:rsidR="00DF00DC" w14:paraId="5B801546" w14:textId="77777777" w:rsidTr="00E80103">
        <w:tc>
          <w:tcPr>
            <w:tcW w:w="9016" w:type="dxa"/>
            <w:gridSpan w:val="2"/>
          </w:tcPr>
          <w:p w14:paraId="019ECF30" w14:textId="77777777" w:rsidR="00DF00DC" w:rsidRDefault="00DF00DC" w:rsidP="008341AA"/>
          <w:p w14:paraId="447F1CC9" w14:textId="77777777" w:rsidR="000262B2" w:rsidRDefault="000262B2" w:rsidP="008341AA"/>
        </w:tc>
      </w:tr>
    </w:tbl>
    <w:p w14:paraId="5BBD03F5" w14:textId="77777777" w:rsidR="00E23B7D" w:rsidRDefault="00E23B7D" w:rsidP="00835A77">
      <w:pPr>
        <w:sectPr w:rsidR="00E23B7D" w:rsidSect="005E75D8">
          <w:head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5504" w:type="pct"/>
        <w:tblInd w:w="-431" w:type="dxa"/>
        <w:tblLook w:val="04A0" w:firstRow="1" w:lastRow="0" w:firstColumn="1" w:lastColumn="0" w:noHBand="0" w:noVBand="1"/>
      </w:tblPr>
      <w:tblGrid>
        <w:gridCol w:w="9925"/>
      </w:tblGrid>
      <w:tr w:rsidR="00347C65" w:rsidRPr="001941B8" w14:paraId="01365C5E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0B98D52A" w14:textId="39A96C89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1</w:t>
            </w:r>
            <w:r w:rsidRPr="001941B8">
              <w:rPr>
                <w:b/>
                <w:color w:val="FFFFFF" w:themeColor="background1"/>
              </w:rPr>
              <w:t>. Real</w:t>
            </w:r>
            <w:r>
              <w:rPr>
                <w:b/>
                <w:color w:val="FFFFFF" w:themeColor="background1"/>
              </w:rPr>
              <w:t>-</w:t>
            </w:r>
            <w:r w:rsidRPr="001941B8">
              <w:rPr>
                <w:b/>
                <w:color w:val="FFFFFF" w:themeColor="background1"/>
              </w:rPr>
              <w:t xml:space="preserve">world </w:t>
            </w:r>
            <w:r>
              <w:rPr>
                <w:b/>
                <w:color w:val="FFFFFF" w:themeColor="background1"/>
              </w:rPr>
              <w:t>/</w:t>
            </w:r>
            <w:r w:rsidRPr="001941B8">
              <w:rPr>
                <w:b/>
                <w:color w:val="FFFFFF" w:themeColor="background1"/>
              </w:rPr>
              <w:t xml:space="preserve"> applied learning</w:t>
            </w:r>
          </w:p>
        </w:tc>
      </w:tr>
      <w:tr w:rsidR="00347C65" w14:paraId="2516E668" w14:textId="77777777" w:rsidTr="00D024FA">
        <w:tc>
          <w:tcPr>
            <w:tcW w:w="5000" w:type="pct"/>
          </w:tcPr>
          <w:p w14:paraId="1D8226CA" w14:textId="77777777" w:rsidR="00347C65" w:rsidRDefault="00347C65" w:rsidP="00D024FA">
            <w:pPr>
              <w:spacing w:line="360" w:lineRule="exact"/>
            </w:pPr>
            <w:r>
              <w:t xml:space="preserve">Subject teaching that is rich in </w:t>
            </w:r>
            <w:r w:rsidRPr="006C3C49">
              <w:rPr>
                <w:b/>
              </w:rPr>
              <w:t>real</w:t>
            </w:r>
            <w:r>
              <w:rPr>
                <w:b/>
              </w:rPr>
              <w:t>-</w:t>
            </w:r>
            <w:r w:rsidRPr="006C3C49">
              <w:rPr>
                <w:b/>
              </w:rPr>
              <w:t>world</w:t>
            </w:r>
            <w:r>
              <w:t xml:space="preserve"> examples, research projects and opportunities to see how the subject and its methods are </w:t>
            </w:r>
            <w:r w:rsidRPr="006C3C49">
              <w:rPr>
                <w:b/>
              </w:rPr>
              <w:t>applied</w:t>
            </w:r>
            <w:r>
              <w:t xml:space="preserve"> in different external contexts.</w:t>
            </w:r>
          </w:p>
        </w:tc>
      </w:tr>
      <w:tr w:rsidR="00347C65" w:rsidRPr="001941B8" w14:paraId="2759CC4F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4E7987C1" w14:textId="6D6B26F1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Pr="001941B8">
              <w:rPr>
                <w:b/>
                <w:color w:val="FFFFFF" w:themeColor="background1"/>
              </w:rPr>
              <w:t>. Active teaching methods</w:t>
            </w:r>
          </w:p>
        </w:tc>
      </w:tr>
      <w:tr w:rsidR="00347C65" w14:paraId="7F9C1B3A" w14:textId="77777777" w:rsidTr="00D024FA">
        <w:tc>
          <w:tcPr>
            <w:tcW w:w="5000" w:type="pct"/>
          </w:tcPr>
          <w:p w14:paraId="3AFFBA55" w14:textId="77777777" w:rsidR="00347C65" w:rsidRDefault="00347C65" w:rsidP="00D024FA">
            <w:pPr>
              <w:spacing w:line="360" w:lineRule="exact"/>
            </w:pPr>
            <w:r w:rsidRPr="006C3C49">
              <w:rPr>
                <w:b/>
              </w:rPr>
              <w:t>Active teaching</w:t>
            </w:r>
            <w:r>
              <w:t xml:space="preserve"> methods – this may include problem solving; discussions/debate; team activities; real-world activities (fulfilling a project brief, consultancy); opportunities for students to create; competitions; the pitching of ideas etc.  </w:t>
            </w:r>
            <w:r>
              <w:rPr>
                <w:rFonts w:ascii="Calibri" w:hAnsi="Calibri" w:cs="Calibri"/>
              </w:rPr>
              <w:t>In short, active teaching methods are any choice of pedagogies that increase active, rather than passive, learning in students.</w:t>
            </w:r>
          </w:p>
        </w:tc>
      </w:tr>
      <w:tr w:rsidR="00347C65" w:rsidRPr="001941B8" w14:paraId="4145E92C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22CD83CC" w14:textId="4462C013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1941B8">
              <w:rPr>
                <w:b/>
                <w:color w:val="FFFFFF" w:themeColor="background1"/>
              </w:rPr>
              <w:t>. Skills and attributes</w:t>
            </w:r>
          </w:p>
        </w:tc>
      </w:tr>
      <w:tr w:rsidR="00347C65" w14:paraId="09A8FA48" w14:textId="77777777" w:rsidTr="00D024FA">
        <w:tc>
          <w:tcPr>
            <w:tcW w:w="5000" w:type="pct"/>
          </w:tcPr>
          <w:p w14:paraId="320F2270" w14:textId="77777777" w:rsidR="00347C65" w:rsidRDefault="00347C65" w:rsidP="00D024FA">
            <w:pPr>
              <w:spacing w:line="360" w:lineRule="exact"/>
            </w:pPr>
            <w:r>
              <w:t xml:space="preserve">Through the choice of learning, teaching and assessment methods, provides a curriculum that enhances </w:t>
            </w:r>
            <w:r w:rsidRPr="002F22C5">
              <w:t>students’</w:t>
            </w:r>
            <w:r w:rsidRPr="006C3C49">
              <w:rPr>
                <w:b/>
              </w:rPr>
              <w:t xml:space="preserve"> </w:t>
            </w:r>
            <w:r w:rsidRPr="002F22C5">
              <w:t>non-te</w:t>
            </w:r>
            <w:r>
              <w:t>c</w:t>
            </w:r>
            <w:r w:rsidRPr="002F22C5">
              <w:t>hnical</w:t>
            </w:r>
            <w:r>
              <w:rPr>
                <w:b/>
              </w:rPr>
              <w:t xml:space="preserve"> </w:t>
            </w:r>
            <w:r w:rsidRPr="006C3C49">
              <w:rPr>
                <w:b/>
              </w:rPr>
              <w:t xml:space="preserve">skills and attributes </w:t>
            </w:r>
            <w:r>
              <w:t>in a coherent and developmental way.</w:t>
            </w:r>
          </w:p>
        </w:tc>
      </w:tr>
      <w:tr w:rsidR="00347C65" w:rsidRPr="001941B8" w14:paraId="4435DCCC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57070ACA" w14:textId="2FDE028B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4. Employer</w:t>
            </w:r>
            <w:r w:rsidRPr="001941B8">
              <w:rPr>
                <w:b/>
                <w:color w:val="FFFFFF" w:themeColor="background1"/>
              </w:rPr>
              <w:t xml:space="preserve"> and alumni</w:t>
            </w:r>
            <w:r>
              <w:rPr>
                <w:b/>
                <w:color w:val="FFFFFF" w:themeColor="background1"/>
              </w:rPr>
              <w:t xml:space="preserve"> engagement</w:t>
            </w:r>
          </w:p>
        </w:tc>
      </w:tr>
      <w:tr w:rsidR="00347C65" w14:paraId="5F6F8F64" w14:textId="77777777" w:rsidTr="00D024FA">
        <w:tc>
          <w:tcPr>
            <w:tcW w:w="5000" w:type="pct"/>
          </w:tcPr>
          <w:p w14:paraId="616449C9" w14:textId="77777777" w:rsidR="00347C65" w:rsidRDefault="00347C65" w:rsidP="00D024FA">
            <w:pPr>
              <w:spacing w:line="360" w:lineRule="exact"/>
            </w:pPr>
            <w:r>
              <w:t xml:space="preserve">Diverse and regular involvement with </w:t>
            </w:r>
            <w:r w:rsidRPr="006C3C49">
              <w:rPr>
                <w:b/>
              </w:rPr>
              <w:t>employers</w:t>
            </w:r>
            <w:r>
              <w:t xml:space="preserve"> and </w:t>
            </w:r>
            <w:r w:rsidRPr="006C3C49">
              <w:rPr>
                <w:b/>
              </w:rPr>
              <w:t>alumni</w:t>
            </w:r>
            <w:r>
              <w:t xml:space="preserve"> – not solely as guest speakers or providers of placements but also to help inform the curriculum, get involved with student assessment; provide case studies and project ideas, to act as mentors etc.</w:t>
            </w:r>
          </w:p>
        </w:tc>
      </w:tr>
      <w:tr w:rsidR="00347C65" w:rsidRPr="001941B8" w14:paraId="29651982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0AA65059" w14:textId="3A5E62B4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1941B8">
              <w:rPr>
                <w:b/>
                <w:color w:val="FFFFFF" w:themeColor="background1"/>
              </w:rPr>
              <w:t>. Career management skills and insights</w:t>
            </w:r>
          </w:p>
        </w:tc>
      </w:tr>
      <w:tr w:rsidR="00347C65" w14:paraId="0D9AFBD8" w14:textId="77777777" w:rsidTr="00D024FA">
        <w:tc>
          <w:tcPr>
            <w:tcW w:w="5000" w:type="pct"/>
          </w:tcPr>
          <w:p w14:paraId="26906C64" w14:textId="77777777" w:rsidR="00347C65" w:rsidRDefault="00347C65" w:rsidP="00D024FA">
            <w:pPr>
              <w:spacing w:line="360" w:lineRule="exact"/>
            </w:pPr>
            <w:r>
              <w:t>Planned s</w:t>
            </w:r>
            <w:r w:rsidRPr="005024AA">
              <w:t xml:space="preserve">pace within the curriculum for students to gain </w:t>
            </w:r>
            <w:r w:rsidRPr="005024AA">
              <w:rPr>
                <w:b/>
              </w:rPr>
              <w:t>career management skills and insights</w:t>
            </w:r>
            <w:r w:rsidRPr="005024AA">
              <w:t xml:space="preserve"> and to be encouraged to engage in timely career planning</w:t>
            </w:r>
            <w:r>
              <w:t>.</w:t>
            </w:r>
          </w:p>
        </w:tc>
      </w:tr>
      <w:tr w:rsidR="00347C65" w:rsidRPr="001941B8" w14:paraId="081D4C39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0DBC33D6" w14:textId="7721890C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1941B8">
              <w:rPr>
                <w:b/>
                <w:color w:val="FFFFFF" w:themeColor="background1"/>
              </w:rPr>
              <w:t>. Enterprise education</w:t>
            </w:r>
            <w:r>
              <w:rPr>
                <w:b/>
                <w:color w:val="FFFFFF" w:themeColor="background1"/>
              </w:rPr>
              <w:t xml:space="preserve"> and mindset</w:t>
            </w:r>
          </w:p>
        </w:tc>
      </w:tr>
      <w:tr w:rsidR="00347C65" w14:paraId="4BE2BCD8" w14:textId="77777777" w:rsidTr="00D024FA">
        <w:tc>
          <w:tcPr>
            <w:tcW w:w="5000" w:type="pct"/>
          </w:tcPr>
          <w:p w14:paraId="6701D203" w14:textId="77777777" w:rsidR="00347C65" w:rsidRDefault="00347C65" w:rsidP="00D024FA">
            <w:pPr>
              <w:spacing w:line="360" w:lineRule="exact"/>
            </w:pPr>
            <w:r w:rsidRPr="006C3C49">
              <w:rPr>
                <w:b/>
              </w:rPr>
              <w:t>Enterprise education</w:t>
            </w:r>
            <w:r>
              <w:t xml:space="preserve"> for all students, not just those that wish to set up their own business.  Enterprise activities allow all students to develop creativity, leadership, innovation, negotiation, and confidence; all of these attributes highly valued in various work contexts.</w:t>
            </w:r>
          </w:p>
        </w:tc>
      </w:tr>
      <w:tr w:rsidR="00453660" w:rsidRPr="001941B8" w14:paraId="27E1F2FF" w14:textId="77777777" w:rsidTr="00321DEB">
        <w:tc>
          <w:tcPr>
            <w:tcW w:w="5000" w:type="pct"/>
            <w:shd w:val="clear" w:color="auto" w:fill="2E74B5" w:themeFill="accent1" w:themeFillShade="BF"/>
            <w:vAlign w:val="center"/>
          </w:tcPr>
          <w:p w14:paraId="7D4DAC8F" w14:textId="0CA08AD7" w:rsidR="00453660" w:rsidRPr="001941B8" w:rsidRDefault="00347C65" w:rsidP="00A72DF6">
            <w:pPr>
              <w:keepNext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  <w:r w:rsidR="00453660" w:rsidRPr="001941B8">
              <w:rPr>
                <w:b/>
                <w:color w:val="FFFFFF" w:themeColor="background1"/>
              </w:rPr>
              <w:t xml:space="preserve">. Work experience </w:t>
            </w:r>
          </w:p>
        </w:tc>
      </w:tr>
      <w:tr w:rsidR="00453660" w14:paraId="3AA4DF77" w14:textId="77777777" w:rsidTr="00212153">
        <w:tc>
          <w:tcPr>
            <w:tcW w:w="5000" w:type="pct"/>
            <w:shd w:val="clear" w:color="auto" w:fill="auto"/>
          </w:tcPr>
          <w:p w14:paraId="2233DCA8" w14:textId="78645D50" w:rsidR="00453660" w:rsidRDefault="00453660" w:rsidP="000840FD">
            <w:pPr>
              <w:spacing w:line="360" w:lineRule="exact"/>
            </w:pPr>
            <w:r>
              <w:t xml:space="preserve">Opportunities for, and active encouragement of, </w:t>
            </w:r>
            <w:r w:rsidRPr="006C3C49">
              <w:rPr>
                <w:b/>
              </w:rPr>
              <w:t>work experience</w:t>
            </w:r>
            <w:r>
              <w:t xml:space="preserve"> – developing students’ expertise and attributes, and where possible building links with the rest of the curriculum.</w:t>
            </w:r>
            <w:r w:rsidR="00212153">
              <w:t xml:space="preserve"> </w:t>
            </w:r>
            <w:r>
              <w:t xml:space="preserve"> This could be in many different forms, for example: blocks of work-related experience; a short two-week work experience; a year-long industry placement; a volunteering experience; individual or group project work for an employer.  </w:t>
            </w:r>
          </w:p>
        </w:tc>
      </w:tr>
      <w:tr w:rsidR="00347C65" w:rsidRPr="001941B8" w14:paraId="52C504D7" w14:textId="77777777" w:rsidTr="00D024FA">
        <w:tc>
          <w:tcPr>
            <w:tcW w:w="5000" w:type="pct"/>
            <w:shd w:val="clear" w:color="auto" w:fill="2E74B5" w:themeFill="accent1" w:themeFillShade="BF"/>
            <w:vAlign w:val="center"/>
          </w:tcPr>
          <w:p w14:paraId="6FCE2742" w14:textId="4A97EFB5" w:rsidR="00347C65" w:rsidRPr="001941B8" w:rsidRDefault="00347C65" w:rsidP="00D024FA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Pr="001941B8">
              <w:rPr>
                <w:b/>
                <w:color w:val="FFFFFF" w:themeColor="background1"/>
              </w:rPr>
              <w:t>. Reflection</w:t>
            </w:r>
          </w:p>
        </w:tc>
      </w:tr>
      <w:tr w:rsidR="00347C65" w14:paraId="162238F4" w14:textId="77777777" w:rsidTr="00D024FA">
        <w:tc>
          <w:tcPr>
            <w:tcW w:w="5000" w:type="pct"/>
          </w:tcPr>
          <w:p w14:paraId="6B577B4D" w14:textId="77777777" w:rsidR="00347C65" w:rsidRDefault="00347C65" w:rsidP="00D024FA">
            <w:pPr>
              <w:spacing w:line="360" w:lineRule="exact"/>
            </w:pPr>
            <w:r>
              <w:t xml:space="preserve">Regular opportunities for students to </w:t>
            </w:r>
            <w:r w:rsidRPr="00325E5B">
              <w:rPr>
                <w:b/>
              </w:rPr>
              <w:t>reflect on and articulate their learning and development, and to plan further growth and learning opportunities</w:t>
            </w:r>
            <w:r w:rsidRPr="009C023D">
              <w:t xml:space="preserve"> (PDP)</w:t>
            </w:r>
            <w:r>
              <w:t>.</w:t>
            </w:r>
          </w:p>
        </w:tc>
      </w:tr>
      <w:tr w:rsidR="00453660" w:rsidRPr="001941B8" w14:paraId="1F14F96E" w14:textId="77777777" w:rsidTr="00321DEB">
        <w:tc>
          <w:tcPr>
            <w:tcW w:w="5000" w:type="pct"/>
            <w:shd w:val="clear" w:color="auto" w:fill="2E74B5" w:themeFill="accent1" w:themeFillShade="BF"/>
            <w:vAlign w:val="center"/>
          </w:tcPr>
          <w:p w14:paraId="7639B656" w14:textId="1434E265" w:rsidR="00453660" w:rsidRPr="001941B8" w:rsidRDefault="00347C65" w:rsidP="000840FD">
            <w:pPr>
              <w:keepNext/>
              <w:spacing w:line="360" w:lineRule="exact"/>
              <w:rPr>
                <w:color w:val="FFFFFF" w:themeColor="background1"/>
              </w:rPr>
            </w:pPr>
            <w:r w:rsidRPr="00347C65">
              <w:rPr>
                <w:b/>
                <w:color w:val="FFFFFF" w:themeColor="background1"/>
              </w:rPr>
              <w:t>9</w:t>
            </w:r>
            <w:r w:rsidR="00453660" w:rsidRPr="00347C65">
              <w:rPr>
                <w:b/>
                <w:color w:val="FFFFFF" w:themeColor="background1"/>
              </w:rPr>
              <w:t>.</w:t>
            </w:r>
            <w:r w:rsidR="00453660" w:rsidRPr="001941B8">
              <w:rPr>
                <w:color w:val="FFFFFF" w:themeColor="background1"/>
              </w:rPr>
              <w:t xml:space="preserve"> </w:t>
            </w:r>
            <w:r w:rsidR="00453660" w:rsidRPr="001941B8">
              <w:rPr>
                <w:b/>
                <w:color w:val="FFFFFF" w:themeColor="background1"/>
              </w:rPr>
              <w:t>Explicit recognition and valuing of employability across the curriculum</w:t>
            </w:r>
          </w:p>
        </w:tc>
      </w:tr>
      <w:tr w:rsidR="00453660" w14:paraId="76039714" w14:textId="77777777" w:rsidTr="00321DEB">
        <w:tc>
          <w:tcPr>
            <w:tcW w:w="5000" w:type="pct"/>
          </w:tcPr>
          <w:p w14:paraId="02B1B1EE" w14:textId="77777777" w:rsidR="00453660" w:rsidRDefault="00453660" w:rsidP="000840FD">
            <w:pPr>
              <w:spacing w:line="360" w:lineRule="exact"/>
            </w:pPr>
            <w:r w:rsidRPr="006C3C49">
              <w:rPr>
                <w:b/>
              </w:rPr>
              <w:t>Explicit recognition and valuing</w:t>
            </w:r>
            <w:r>
              <w:t xml:space="preserve"> of employability across the curriculum – through employability relevant learning outcomes and assessment; highlighting and encouraging students to recognise the skills being developed; encouragement to engage with curricular, co- and extra-curricular development opportunities (e.g. part-time work, volunteering, sports and societies, or caring responsibilities)</w:t>
            </w:r>
          </w:p>
        </w:tc>
      </w:tr>
      <w:tr w:rsidR="00453660" w:rsidRPr="001941B8" w14:paraId="049A1379" w14:textId="77777777" w:rsidTr="00321DEB">
        <w:tc>
          <w:tcPr>
            <w:tcW w:w="5000" w:type="pct"/>
            <w:shd w:val="clear" w:color="auto" w:fill="2E74B5" w:themeFill="accent1" w:themeFillShade="BF"/>
            <w:vAlign w:val="center"/>
          </w:tcPr>
          <w:p w14:paraId="7584D987" w14:textId="007DE1D9" w:rsidR="00453660" w:rsidRPr="001941B8" w:rsidRDefault="00453660" w:rsidP="000840FD">
            <w:pPr>
              <w:keepNext/>
              <w:spacing w:line="360" w:lineRule="exact"/>
              <w:rPr>
                <w:b/>
                <w:color w:val="FFFFFF" w:themeColor="background1"/>
              </w:rPr>
            </w:pPr>
            <w:r w:rsidRPr="001941B8">
              <w:rPr>
                <w:b/>
                <w:color w:val="FFFFFF" w:themeColor="background1"/>
              </w:rPr>
              <w:t xml:space="preserve">10. </w:t>
            </w:r>
            <w:r w:rsidR="00B0640F">
              <w:rPr>
                <w:b/>
                <w:color w:val="FFFFFF" w:themeColor="background1"/>
              </w:rPr>
              <w:t>S</w:t>
            </w:r>
            <w:r w:rsidR="00F5588B">
              <w:rPr>
                <w:b/>
                <w:color w:val="FFFFFF" w:themeColor="background1"/>
              </w:rPr>
              <w:t xml:space="preserve">tudent support </w:t>
            </w:r>
            <w:r w:rsidRPr="001941B8">
              <w:rPr>
                <w:b/>
                <w:color w:val="FFFFFF" w:themeColor="background1"/>
              </w:rPr>
              <w:t>system</w:t>
            </w:r>
          </w:p>
        </w:tc>
      </w:tr>
      <w:tr w:rsidR="00453660" w14:paraId="10A45A62" w14:textId="77777777" w:rsidTr="00321DEB">
        <w:tc>
          <w:tcPr>
            <w:tcW w:w="5000" w:type="pct"/>
          </w:tcPr>
          <w:p w14:paraId="25E9AD26" w14:textId="60EA0D97" w:rsidR="00453660" w:rsidRDefault="00F5588B" w:rsidP="000840FD">
            <w:pPr>
              <w:spacing w:line="360" w:lineRule="exact"/>
            </w:pPr>
            <w:r>
              <w:t>A</w:t>
            </w:r>
            <w:r w:rsidR="00453660">
              <w:t xml:space="preserve"> </w:t>
            </w:r>
            <w:r>
              <w:rPr>
                <w:b/>
              </w:rPr>
              <w:t>student</w:t>
            </w:r>
            <w:r w:rsidR="00453660" w:rsidRPr="006C3C49">
              <w:rPr>
                <w:b/>
              </w:rPr>
              <w:t xml:space="preserve"> </w:t>
            </w:r>
            <w:r w:rsidR="00B0640F">
              <w:rPr>
                <w:b/>
              </w:rPr>
              <w:t xml:space="preserve">support </w:t>
            </w:r>
            <w:r w:rsidR="00453660" w:rsidRPr="006C3C49">
              <w:rPr>
                <w:b/>
              </w:rPr>
              <w:t>system</w:t>
            </w:r>
            <w:r w:rsidR="00453660">
              <w:t xml:space="preserve"> that is motivating and supportive in the way that: PDP is handled; career discussions enabled; and further opportunities and services promoted and signposted.</w:t>
            </w:r>
          </w:p>
        </w:tc>
      </w:tr>
    </w:tbl>
    <w:p w14:paraId="194AA009" w14:textId="77777777" w:rsidR="00453882" w:rsidRPr="007D2687" w:rsidRDefault="00453882" w:rsidP="005801BD">
      <w:pPr>
        <w:spacing w:after="0" w:line="240" w:lineRule="auto"/>
        <w:rPr>
          <w:sz w:val="16"/>
        </w:rPr>
      </w:pPr>
    </w:p>
    <w:sectPr w:rsidR="00453882" w:rsidRPr="007D2687" w:rsidSect="007D2687">
      <w:headerReference w:type="default" r:id="rId1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E9D5" w14:textId="77777777" w:rsidR="0007715C" w:rsidRDefault="0007715C" w:rsidP="00453882">
      <w:pPr>
        <w:spacing w:after="0" w:line="240" w:lineRule="auto"/>
      </w:pPr>
      <w:r>
        <w:separator/>
      </w:r>
    </w:p>
  </w:endnote>
  <w:endnote w:type="continuationSeparator" w:id="0">
    <w:p w14:paraId="7FC70FF5" w14:textId="77777777" w:rsidR="0007715C" w:rsidRDefault="0007715C" w:rsidP="0045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BE83" w14:textId="77777777" w:rsidR="0007715C" w:rsidRDefault="0007715C" w:rsidP="00453882">
      <w:pPr>
        <w:spacing w:after="0" w:line="240" w:lineRule="auto"/>
      </w:pPr>
      <w:r>
        <w:separator/>
      </w:r>
    </w:p>
  </w:footnote>
  <w:footnote w:type="continuationSeparator" w:id="0">
    <w:p w14:paraId="23C9B053" w14:textId="77777777" w:rsidR="0007715C" w:rsidRDefault="0007715C" w:rsidP="0045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F550" w14:textId="503C3E73" w:rsidR="00453882" w:rsidRPr="00E5264A" w:rsidRDefault="005D3112" w:rsidP="00E7558A">
    <w:pPr>
      <w:pStyle w:val="Title"/>
    </w:pPr>
    <w:r w:rsidRPr="00E7558A">
      <w:rPr>
        <w:rStyle w:val="Emphasis"/>
        <w:i w:val="0"/>
        <w:iCs w:val="0"/>
      </w:rPr>
      <w:t>Self-review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FA29" w14:textId="0B6E74E5" w:rsidR="00CB5810" w:rsidRDefault="00CB58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7872D17" wp14:editId="4AD977AF">
          <wp:simplePos x="0" y="0"/>
          <wp:positionH relativeFrom="column">
            <wp:posOffset>-349250</wp:posOffset>
          </wp:positionH>
          <wp:positionV relativeFrom="paragraph">
            <wp:posOffset>0</wp:posOffset>
          </wp:positionV>
          <wp:extent cx="3474000" cy="55440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58CC3" w14:textId="4DCE8895" w:rsidR="002C4433" w:rsidRPr="002C4433" w:rsidRDefault="002C4433" w:rsidP="007D268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0A6E" w14:textId="6ADE7F2B" w:rsidR="002C4433" w:rsidRPr="00576100" w:rsidRDefault="002C4433" w:rsidP="002C4433">
    <w:pPr>
      <w:pStyle w:val="Title"/>
    </w:pPr>
    <w:r w:rsidRPr="00576100">
      <w:rPr>
        <w:rStyle w:val="Emphasis"/>
        <w:i w:val="0"/>
        <w:iCs w:val="0"/>
      </w:rPr>
      <w:t>Self-review template</w:t>
    </w:r>
  </w:p>
  <w:p w14:paraId="24B78FE7" w14:textId="734B7FD7" w:rsidR="005D3112" w:rsidRDefault="005D31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296A" w14:textId="4CF96973" w:rsidR="002C4433" w:rsidRPr="00576100" w:rsidRDefault="002C4433" w:rsidP="007D2687">
    <w:pPr>
      <w:pStyle w:val="Title"/>
      <w:ind w:left="-426"/>
    </w:pPr>
    <w:r>
      <w:rPr>
        <w:rStyle w:val="Emphasis"/>
        <w:i w:val="0"/>
        <w:iCs w:val="0"/>
      </w:rPr>
      <w:t>Design elements</w:t>
    </w:r>
  </w:p>
  <w:p w14:paraId="30760599" w14:textId="74F7559A" w:rsidR="002C4433" w:rsidRPr="002C4433" w:rsidRDefault="002C4433" w:rsidP="007D26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C5B2A"/>
    <w:multiLevelType w:val="hybridMultilevel"/>
    <w:tmpl w:val="6B90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12C8"/>
    <w:multiLevelType w:val="hybridMultilevel"/>
    <w:tmpl w:val="5EEC0274"/>
    <w:lvl w:ilvl="0" w:tplc="0736EE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11554"/>
    <w:multiLevelType w:val="hybridMultilevel"/>
    <w:tmpl w:val="E27C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36C3"/>
    <w:multiLevelType w:val="hybridMultilevel"/>
    <w:tmpl w:val="385A4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46A1"/>
    <w:multiLevelType w:val="hybridMultilevel"/>
    <w:tmpl w:val="8DB2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B82"/>
    <w:multiLevelType w:val="hybridMultilevel"/>
    <w:tmpl w:val="1FE26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82"/>
    <w:rsid w:val="00002692"/>
    <w:rsid w:val="000262B2"/>
    <w:rsid w:val="00026F05"/>
    <w:rsid w:val="00046819"/>
    <w:rsid w:val="000613AA"/>
    <w:rsid w:val="0007715C"/>
    <w:rsid w:val="00081DCF"/>
    <w:rsid w:val="00081E8A"/>
    <w:rsid w:val="000840FD"/>
    <w:rsid w:val="0009291E"/>
    <w:rsid w:val="000B0D11"/>
    <w:rsid w:val="000B1F3A"/>
    <w:rsid w:val="000F63D0"/>
    <w:rsid w:val="00104F2B"/>
    <w:rsid w:val="00117742"/>
    <w:rsid w:val="00145594"/>
    <w:rsid w:val="00163516"/>
    <w:rsid w:val="001721D0"/>
    <w:rsid w:val="001749CB"/>
    <w:rsid w:val="001A30E0"/>
    <w:rsid w:val="001F1BB0"/>
    <w:rsid w:val="00212153"/>
    <w:rsid w:val="00240286"/>
    <w:rsid w:val="00246F13"/>
    <w:rsid w:val="00260AF3"/>
    <w:rsid w:val="00280FAE"/>
    <w:rsid w:val="0029472E"/>
    <w:rsid w:val="002A3E0A"/>
    <w:rsid w:val="002A547E"/>
    <w:rsid w:val="002C4433"/>
    <w:rsid w:val="002D3740"/>
    <w:rsid w:val="002E0F97"/>
    <w:rsid w:val="002E2115"/>
    <w:rsid w:val="00305BC2"/>
    <w:rsid w:val="00310169"/>
    <w:rsid w:val="00321DEB"/>
    <w:rsid w:val="00327990"/>
    <w:rsid w:val="00335DCF"/>
    <w:rsid w:val="00341FD3"/>
    <w:rsid w:val="00347C65"/>
    <w:rsid w:val="00366B6A"/>
    <w:rsid w:val="00380218"/>
    <w:rsid w:val="00453660"/>
    <w:rsid w:val="00453882"/>
    <w:rsid w:val="0048383D"/>
    <w:rsid w:val="00492336"/>
    <w:rsid w:val="00496B30"/>
    <w:rsid w:val="004A0996"/>
    <w:rsid w:val="00501CD9"/>
    <w:rsid w:val="00502D75"/>
    <w:rsid w:val="005238B0"/>
    <w:rsid w:val="005801BD"/>
    <w:rsid w:val="00582CFC"/>
    <w:rsid w:val="005C5E69"/>
    <w:rsid w:val="005D3112"/>
    <w:rsid w:val="005E75D8"/>
    <w:rsid w:val="0062139C"/>
    <w:rsid w:val="0066253F"/>
    <w:rsid w:val="00674321"/>
    <w:rsid w:val="0067512D"/>
    <w:rsid w:val="006825AA"/>
    <w:rsid w:val="00694F30"/>
    <w:rsid w:val="006B36E0"/>
    <w:rsid w:val="006C2A74"/>
    <w:rsid w:val="006C30FF"/>
    <w:rsid w:val="006E3241"/>
    <w:rsid w:val="006E76C2"/>
    <w:rsid w:val="006F40B9"/>
    <w:rsid w:val="007253A2"/>
    <w:rsid w:val="0073601A"/>
    <w:rsid w:val="00744E51"/>
    <w:rsid w:val="00752524"/>
    <w:rsid w:val="00776FFB"/>
    <w:rsid w:val="00787EEB"/>
    <w:rsid w:val="00790658"/>
    <w:rsid w:val="007A07D4"/>
    <w:rsid w:val="007B5E68"/>
    <w:rsid w:val="007D2687"/>
    <w:rsid w:val="007E4C81"/>
    <w:rsid w:val="007E7026"/>
    <w:rsid w:val="007F5AE1"/>
    <w:rsid w:val="007F5B8C"/>
    <w:rsid w:val="008012CB"/>
    <w:rsid w:val="00811323"/>
    <w:rsid w:val="00817D6C"/>
    <w:rsid w:val="008341AA"/>
    <w:rsid w:val="00835A77"/>
    <w:rsid w:val="00855256"/>
    <w:rsid w:val="0086642F"/>
    <w:rsid w:val="00894E25"/>
    <w:rsid w:val="008A2B4D"/>
    <w:rsid w:val="008B0110"/>
    <w:rsid w:val="008C4450"/>
    <w:rsid w:val="008C4DE1"/>
    <w:rsid w:val="008D1AEB"/>
    <w:rsid w:val="008E24DC"/>
    <w:rsid w:val="00947A64"/>
    <w:rsid w:val="00975C05"/>
    <w:rsid w:val="009800D7"/>
    <w:rsid w:val="009A4244"/>
    <w:rsid w:val="009A794E"/>
    <w:rsid w:val="009E1123"/>
    <w:rsid w:val="009E5874"/>
    <w:rsid w:val="009F0046"/>
    <w:rsid w:val="00A10A2D"/>
    <w:rsid w:val="00A36EE6"/>
    <w:rsid w:val="00A4229B"/>
    <w:rsid w:val="00A73881"/>
    <w:rsid w:val="00AC73B5"/>
    <w:rsid w:val="00AD7707"/>
    <w:rsid w:val="00B0640F"/>
    <w:rsid w:val="00B15895"/>
    <w:rsid w:val="00B21E3A"/>
    <w:rsid w:val="00B26D5D"/>
    <w:rsid w:val="00B82DF5"/>
    <w:rsid w:val="00B95CB9"/>
    <w:rsid w:val="00BA4443"/>
    <w:rsid w:val="00BC0DBE"/>
    <w:rsid w:val="00BC13B4"/>
    <w:rsid w:val="00BD6EB0"/>
    <w:rsid w:val="00C33DAB"/>
    <w:rsid w:val="00C35931"/>
    <w:rsid w:val="00C35CC9"/>
    <w:rsid w:val="00C35EEA"/>
    <w:rsid w:val="00C43EB6"/>
    <w:rsid w:val="00C800A8"/>
    <w:rsid w:val="00CA3002"/>
    <w:rsid w:val="00CB5810"/>
    <w:rsid w:val="00CB5C3F"/>
    <w:rsid w:val="00CC54D9"/>
    <w:rsid w:val="00CC67E5"/>
    <w:rsid w:val="00D101F3"/>
    <w:rsid w:val="00D14C4A"/>
    <w:rsid w:val="00D176EE"/>
    <w:rsid w:val="00D40C0A"/>
    <w:rsid w:val="00D41022"/>
    <w:rsid w:val="00D44D25"/>
    <w:rsid w:val="00D81023"/>
    <w:rsid w:val="00D909FC"/>
    <w:rsid w:val="00D954D0"/>
    <w:rsid w:val="00DA23DE"/>
    <w:rsid w:val="00DB6849"/>
    <w:rsid w:val="00DD1762"/>
    <w:rsid w:val="00DD7E3F"/>
    <w:rsid w:val="00DF00DC"/>
    <w:rsid w:val="00E23B7D"/>
    <w:rsid w:val="00E257FC"/>
    <w:rsid w:val="00E5264A"/>
    <w:rsid w:val="00E646BB"/>
    <w:rsid w:val="00E7558A"/>
    <w:rsid w:val="00E80103"/>
    <w:rsid w:val="00E935DE"/>
    <w:rsid w:val="00E940BF"/>
    <w:rsid w:val="00EF2EF3"/>
    <w:rsid w:val="00F10979"/>
    <w:rsid w:val="00F15AD1"/>
    <w:rsid w:val="00F22074"/>
    <w:rsid w:val="00F407C5"/>
    <w:rsid w:val="00F45C4A"/>
    <w:rsid w:val="00F45D86"/>
    <w:rsid w:val="00F5588B"/>
    <w:rsid w:val="00F610F2"/>
    <w:rsid w:val="00FA02A1"/>
    <w:rsid w:val="00FE5ED4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CA1A"/>
  <w15:chartTrackingRefBased/>
  <w15:docId w15:val="{FBAA70FE-8A0F-48ED-A231-0C9015FC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882"/>
  </w:style>
  <w:style w:type="paragraph" w:styleId="Footer">
    <w:name w:val="footer"/>
    <w:basedOn w:val="Normal"/>
    <w:link w:val="FooterChar"/>
    <w:uiPriority w:val="99"/>
    <w:unhideWhenUsed/>
    <w:rsid w:val="0045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882"/>
  </w:style>
  <w:style w:type="table" w:styleId="TableGrid">
    <w:name w:val="Table Grid"/>
    <w:basedOn w:val="TableNormal"/>
    <w:uiPriority w:val="39"/>
    <w:rsid w:val="0045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8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5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E7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C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5CB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502D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2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D3112"/>
    <w:rPr>
      <w:i/>
      <w:iCs/>
    </w:rPr>
  </w:style>
  <w:style w:type="paragraph" w:styleId="Revision">
    <w:name w:val="Revision"/>
    <w:hidden/>
    <w:uiPriority w:val="99"/>
    <w:semiHidden/>
    <w:rsid w:val="007D26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5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vin.McCabe@ed.ac.uk" TargetMode="Externa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.ac.uk/employability/curriculum-toolk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EB8DB9AE5FE42BF342776A038B35B" ma:contentTypeVersion="13" ma:contentTypeDescription="Create a new document." ma:contentTypeScope="" ma:versionID="23e205e111e265273b73b157501682f8">
  <xsd:schema xmlns:xsd="http://www.w3.org/2001/XMLSchema" xmlns:xs="http://www.w3.org/2001/XMLSchema" xmlns:p="http://schemas.microsoft.com/office/2006/metadata/properties" xmlns:ns2="24bf41c1-85c0-41a4-ab30-74c805dd8f8b" xmlns:ns3="69f25433-0e39-4ba6-8cf8-0ee96b0d6102" targetNamespace="http://schemas.microsoft.com/office/2006/metadata/properties" ma:root="true" ma:fieldsID="53c8a2b67c0d087832ddaec799126ad3" ns2:_="" ns3:_="">
    <xsd:import namespace="24bf41c1-85c0-41a4-ab30-74c805dd8f8b"/>
    <xsd:import namespace="69f25433-0e39-4ba6-8cf8-0ee96b0d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Owners"/>
                <xsd:element ref="ns2: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41c1-85c0-41a4-ab30-74c805dd8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wners" ma:index="19" ma:displayName="Owners" ma:format="Dropdown" ma:indexed="true" ma:list="UserInfo" ma:SharePointGroup="0" ma:internalName="Own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20" ma:displayName="Review Date" ma:format="DateOnly" ma:indexed="true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5433-0e39-4ba6-8cf8-0ee96b0d6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24bf41c1-85c0-41a4-ab30-74c805dd8f8b"/>
    <Owners xmlns="24bf41c1-85c0-41a4-ab30-74c805dd8f8b">
      <UserInfo>
        <DisplayName/>
        <AccountId/>
        <AccountType/>
      </UserInfo>
    </Owners>
  </documentManagement>
</p:properties>
</file>

<file path=customXml/itemProps1.xml><?xml version="1.0" encoding="utf-8"?>
<ds:datastoreItem xmlns:ds="http://schemas.openxmlformats.org/officeDocument/2006/customXml" ds:itemID="{B3CA614F-428D-4D48-BFF3-1A48096DB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B73F8-BAB2-49EC-9B64-EA871931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41c1-85c0-41a4-ab30-74c805dd8f8b"/>
    <ds:schemaRef ds:uri="69f25433-0e39-4ba6-8cf8-0ee96b0d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67B0A-3478-4AED-9825-854C6850F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27B6DF-71BF-438F-98D0-8BC3A62980F4}">
  <ds:schemaRefs>
    <ds:schemaRef ds:uri="http://schemas.microsoft.com/office/2006/metadata/properties"/>
    <ds:schemaRef ds:uri="http://schemas.microsoft.com/office/infopath/2007/PartnerControls"/>
    <ds:schemaRef ds:uri="24bf41c1-85c0-41a4-ab30-74c805dd8f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THEJLL-MADSEN Tobias</dc:creator>
  <cp:keywords/>
  <dc:description/>
  <cp:lastModifiedBy>MCCABE Gavin</cp:lastModifiedBy>
  <cp:revision>144</cp:revision>
  <cp:lastPrinted>2019-06-13T15:56:00Z</cp:lastPrinted>
  <dcterms:created xsi:type="dcterms:W3CDTF">2019-06-12T10:23:00Z</dcterms:created>
  <dcterms:modified xsi:type="dcterms:W3CDTF">2021-03-29T19:07:00Z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0x010100319EB8DB9AE5FE42BF342776A038B35B</vt:lpwstr>
  </property>
</Properties>
</file>